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4100" w:right="2840" w:hanging="4079"/>
        <w:spacing w:after="0" w:line="325" w:lineRule="auto"/>
        <w:tabs>
          <w:tab w:leader="none" w:pos="485"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ind w:left="550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pacing w:after="0" w:line="39" w:lineRule="exact"/>
        <w:rPr>
          <w:sz w:val="24"/>
          <w:szCs w:val="24"/>
          <w:color w:val="auto"/>
        </w:rPr>
      </w:pPr>
    </w:p>
    <w:p>
      <w:pPr>
        <w:ind w:left="480"/>
        <w:spacing w:after="0"/>
        <w:tabs>
          <w:tab w:leader="none" w:pos="252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001-39485</w:t>
      </w:r>
    </w:p>
    <w:p>
      <w:pPr>
        <w:spacing w:after="0" w:line="7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0"/>
          <w:szCs w:val="40"/>
          <w:b w:val="1"/>
          <w:bCs w:val="1"/>
          <w:color w:val="auto"/>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-266065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tbl>
      <w:tblPr>
        <w:tblLayout w:type="fixed"/>
        <w:tblInd w:w="246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85-1195036</w:t>
            </w:r>
          </w:p>
        </w:tc>
      </w:tr>
    </w:tbl>
    <w:p>
      <w:pPr>
        <w:spacing w:after="0" w:line="1" w:lineRule="exact"/>
        <w:rPr>
          <w:sz w:val="24"/>
          <w:szCs w:val="24"/>
          <w:color w:val="auto"/>
        </w:rPr>
      </w:pPr>
    </w:p>
    <w:p>
      <w:pPr>
        <w:sectPr>
          <w:pgSz w:w="11900" w:h="16838" w:orient="portrait"/>
          <w:cols w:equalWidth="0" w:num="1">
            <w:col w:w="11240"/>
          </w:cols>
          <w:pgMar w:left="320" w:top="1262" w:right="339" w:bottom="1440" w:gutter="0" w:footer="0" w:header="0"/>
        </w:sectPr>
      </w:pPr>
    </w:p>
    <w:p>
      <w:pPr>
        <w:ind w:left="2020"/>
        <w:spacing w:after="0" w:line="216" w:lineRule="auto"/>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7"/>
          <w:szCs w:val="17"/>
          <w:b w:val="1"/>
          <w:bCs w:val="1"/>
          <w:color w:val="auto"/>
        </w:rPr>
        <w:t>201 Brookline Ave., Suite 901</w:t>
      </w:r>
    </w:p>
    <w:p>
      <w:pPr>
        <w:spacing w:after="0" w:line="23"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Boston, MA</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95"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02215</w:t>
      </w:r>
    </w:p>
    <w:p>
      <w:pPr>
        <w:spacing w:after="0" w:line="27" w:lineRule="exact"/>
        <w:rPr>
          <w:sz w:val="24"/>
          <w:szCs w:val="24"/>
          <w:color w:val="auto"/>
        </w:rPr>
      </w:pPr>
    </w:p>
    <w:p>
      <w:pPr>
        <w:sectPr>
          <w:pgSz w:w="11900" w:h="16838" w:orient="portrait"/>
          <w:cols w:equalWidth="0" w:num="2">
            <w:col w:w="7220" w:space="720"/>
            <w:col w:w="3300"/>
          </w:cols>
          <w:pgMar w:left="320" w:top="1262"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21"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6"/>
          <w:szCs w:val="16"/>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(857) 320-4900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86995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TNGX</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29" w:lineRule="exact"/>
        <w:rPr>
          <w:sz w:val="24"/>
          <w:szCs w:val="24"/>
          <w:color w:val="auto"/>
        </w:rPr>
      </w:pPr>
    </w:p>
    <w:p>
      <w:pPr>
        <w:ind w:right="3880"/>
        <w:spacing w:after="0" w:line="214"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4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4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760" w:type="dxa"/>
            <w:vAlign w:val="bottom"/>
          </w:tcPr>
          <w:p>
            <w:pPr>
              <w:ind w:left="5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Accelerated filer</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97"/>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760" w:type="dxa"/>
            <w:vAlign w:val="bottom"/>
          </w:tcPr>
          <w:p>
            <w:pPr>
              <w:ind w:left="5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97"/>
        </w:trPr>
        <w:tc>
          <w:tcPr>
            <w:tcW w:w="17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Emerging growth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01"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56"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02"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25" w:lineRule="exact"/>
        <w:rPr>
          <w:sz w:val="24"/>
          <w:szCs w:val="24"/>
          <w:color w:val="auto"/>
        </w:rPr>
      </w:pPr>
    </w:p>
    <w:p>
      <w:pPr>
        <w:spacing w:after="0" w:line="150" w:lineRule="exact"/>
        <w:tabs>
          <w:tab w:leader="none" w:pos="682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84" w:lineRule="exact"/>
        <w:rPr>
          <w:sz w:val="24"/>
          <w:szCs w:val="24"/>
          <w:color w:val="auto"/>
        </w:rPr>
      </w:pPr>
    </w:p>
    <w:p>
      <w:pPr>
        <w:ind w:right="160"/>
        <w:spacing w:after="0" w:line="278" w:lineRule="auto"/>
        <w:rPr>
          <w:sz w:val="20"/>
          <w:szCs w:val="20"/>
          <w:color w:val="auto"/>
        </w:rPr>
      </w:pPr>
      <w:r>
        <w:rPr>
          <w:rFonts w:ascii="Times New Roman" w:cs="Times New Roman" w:eastAsia="Times New Roman" w:hAnsi="Times New Roman"/>
          <w:sz w:val="13"/>
          <w:szCs w:val="13"/>
          <w:color w:val="auto"/>
        </w:rPr>
        <w:t>As of June 28, 2024, the last business day of the registrant’s most recently completed second fiscal quarter, the aggregate market value of the voting and non-voting common equity held by non-affiliates of the registrant, based on the closing price of the shares of common stock on The Nasdaq Stock Market LLC on June 28, 2024, was approximately $855.1 million.</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February 19, 2025, the registrant had 108,107,890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2" w:right="339" w:bottom="1440" w:gutter="0" w:footer="0" w:header="0"/>
          <w:type w:val="continuous"/>
        </w:sectPr>
      </w:pPr>
    </w:p>
    <w:bookmarkStart w:id="1" w:name="page2"/>
    <w:bookmarkEnd w:id="1"/>
    <w:p>
      <w:pPr>
        <w:jc w:val="center"/>
        <w:ind w:right="-23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5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3"/>
          <w:szCs w:val="13"/>
          <w:color w:val="auto"/>
        </w:rPr>
        <w:t>The registrant's definitive proxy statement relating to the annual meeting of shareholders will be filed with the Securities and Exchange Commission within 120 days after the close of the registrant's fiscal year ended December 31, 2024 and is incorporated by reference in Part III to the extent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718185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87"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40" w:type="dxa"/>
            <w:vAlign w:val="bottom"/>
            <w:gridSpan w:val="9"/>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vMerge w:val="restart"/>
          </w:tcPr>
          <w:p>
            <w:pPr>
              <w:spacing w:after="0"/>
              <w:rPr>
                <w:sz w:val="24"/>
                <w:szCs w:val="24"/>
                <w:color w:val="auto"/>
              </w:rPr>
            </w:pPr>
          </w:p>
        </w:tc>
        <w:tc>
          <w:tcPr>
            <w:tcW w:w="12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26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580" w:type="dxa"/>
            <w:vAlign w:val="bottom"/>
            <w:gridSpan w:val="3"/>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5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52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right w:val="single" w:sz="8" w:color="0000EE"/>
            </w:tcBorders>
            <w:gridSpan w:val="5"/>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323"/>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229" w:lineRule="exact"/>
        <w:rPr>
          <w:sz w:val="20"/>
          <w:szCs w:val="20"/>
          <w:color w:val="auto"/>
        </w:rPr>
      </w:pPr>
    </w:p>
    <w:p>
      <w:pPr>
        <w:jc w:val="both"/>
        <w:ind w:right="20" w:firstLine="584"/>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material and other risks that you should be aware of before making an investment decision with respect to our securities. These risks are described more fully in Part I, Item 1A of this Annual Report on Form 10-K entitled “Risk Factors.” These risks include, among others, the following (which is not an exhaustive list of all such risks):</w:t>
      </w:r>
    </w:p>
    <w:p>
      <w:pPr>
        <w:spacing w:after="0" w:line="176" w:lineRule="exact"/>
        <w:rPr>
          <w:sz w:val="20"/>
          <w:szCs w:val="20"/>
          <w:color w:val="auto"/>
        </w:rPr>
      </w:pPr>
    </w:p>
    <w:p>
      <w:pPr>
        <w:ind w:left="820" w:right="20" w:hanging="340"/>
        <w:spacing w:after="0" w:line="266"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precision oncology company with a limited operating history. We have no products approved for commercial sale, have not generated any revenue from product sales and may never become profitable. Further, we face substantial competition, which may result in others discovering, developing or commercializing products before or more successfully than we do.</w:t>
      </w:r>
    </w:p>
    <w:p>
      <w:pPr>
        <w:spacing w:after="0" w:line="175" w:lineRule="exact"/>
        <w:rPr>
          <w:rFonts w:ascii="Times New Roman" w:cs="Times New Roman" w:eastAsia="Times New Roman" w:hAnsi="Times New Roman"/>
          <w:sz w:val="18"/>
          <w:szCs w:val="18"/>
          <w:color w:val="auto"/>
        </w:rPr>
      </w:pPr>
    </w:p>
    <w:p>
      <w:pPr>
        <w:ind w:left="820" w:right="220" w:hanging="340"/>
        <w:spacing w:after="0" w:line="282"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anticipate that we will continue to incur losses for the foreseeable future. We expect our operating results to fluctuate significantly in the future as our business advances.</w:t>
      </w:r>
    </w:p>
    <w:p>
      <w:pPr>
        <w:spacing w:after="0" w:line="161" w:lineRule="exact"/>
        <w:rPr>
          <w:rFonts w:ascii="Times New Roman" w:cs="Times New Roman" w:eastAsia="Times New Roman" w:hAnsi="Times New Roman"/>
          <w:sz w:val="18"/>
          <w:szCs w:val="18"/>
          <w:color w:val="auto"/>
        </w:rPr>
      </w:pPr>
    </w:p>
    <w:p>
      <w:pPr>
        <w:jc w:val="both"/>
        <w:ind w:left="820" w:right="200" w:hanging="340"/>
        <w:spacing w:after="0" w:line="266"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terms acceptable to us, we would be forced to delay, reduce or eliminate some of our product development programs or commercialization efforts. Raising additional capital may cause dilution to our stockholders, restrict our operations or require us to relinquish rights to our technologies or product candidates.</w:t>
      </w:r>
    </w:p>
    <w:p>
      <w:pPr>
        <w:spacing w:after="0" w:line="175" w:lineRule="exact"/>
        <w:rPr>
          <w:rFonts w:ascii="Times New Roman" w:cs="Times New Roman" w:eastAsia="Times New Roman" w:hAnsi="Times New Roman"/>
          <w:sz w:val="18"/>
          <w:szCs w:val="18"/>
          <w:color w:val="auto"/>
        </w:rPr>
      </w:pPr>
    </w:p>
    <w:p>
      <w:pPr>
        <w:ind w:left="820" w:right="60" w:hanging="340"/>
        <w:spacing w:after="0" w:line="282"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161" w:lineRule="exact"/>
        <w:rPr>
          <w:rFonts w:ascii="Times New Roman" w:cs="Times New Roman" w:eastAsia="Times New Roman" w:hAnsi="Times New Roman"/>
          <w:sz w:val="18"/>
          <w:szCs w:val="18"/>
          <w:color w:val="auto"/>
        </w:rPr>
      </w:pPr>
    </w:p>
    <w:p>
      <w:pPr>
        <w:ind w:left="820" w:right="400" w:hanging="340"/>
        <w:spacing w:after="0" w:line="266"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175" w:lineRule="exact"/>
        <w:rPr>
          <w:rFonts w:ascii="Times New Roman" w:cs="Times New Roman" w:eastAsia="Times New Roman" w:hAnsi="Times New Roman"/>
          <w:sz w:val="18"/>
          <w:szCs w:val="18"/>
          <w:color w:val="auto"/>
        </w:rPr>
      </w:pPr>
    </w:p>
    <w:p>
      <w:pPr>
        <w:ind w:left="840" w:right="40" w:hanging="360"/>
        <w:spacing w:after="0" w:line="261"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validate, develop and obtain regulatory approval for screening tests and companion diagnostic tests for our product candidates that require or would commercially benefit from such tests, or experience significant delays in doing so, we may not realize the full commercial potential of these product candidates. We will also rely on third-parties for screening for biomarkers that enable patient selection for clinical trials and target engagement.</w:t>
      </w:r>
    </w:p>
    <w:p>
      <w:pPr>
        <w:spacing w:after="0" w:line="179" w:lineRule="exact"/>
        <w:rPr>
          <w:rFonts w:ascii="Times New Roman" w:cs="Times New Roman" w:eastAsia="Times New Roman" w:hAnsi="Times New Roman"/>
          <w:sz w:val="18"/>
          <w:szCs w:val="18"/>
          <w:color w:val="auto"/>
        </w:rPr>
      </w:pPr>
    </w:p>
    <w:p>
      <w:pPr>
        <w:ind w:left="840" w:right="160" w:hanging="360"/>
        <w:spacing w:after="0" w:line="282"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product development involves a lengthy and expensive process, with an uncertain outcome. Further, our current and potential future collaborations may not realize the anticipated benefits.</w:t>
      </w:r>
    </w:p>
    <w:p>
      <w:pPr>
        <w:spacing w:after="0" w:line="161" w:lineRule="exact"/>
        <w:rPr>
          <w:rFonts w:ascii="Times New Roman" w:cs="Times New Roman" w:eastAsia="Times New Roman" w:hAnsi="Times New Roman"/>
          <w:sz w:val="18"/>
          <w:szCs w:val="18"/>
          <w:color w:val="auto"/>
        </w:rPr>
      </w:pPr>
    </w:p>
    <w:p>
      <w:pPr>
        <w:ind w:left="840" w:hanging="360"/>
        <w:spacing w:after="0" w:line="282"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interim and top-line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61" w:lineRule="exact"/>
        <w:rPr>
          <w:rFonts w:ascii="Times New Roman" w:cs="Times New Roman" w:eastAsia="Times New Roman" w:hAnsi="Times New Roman"/>
          <w:sz w:val="18"/>
          <w:szCs w:val="18"/>
          <w:color w:val="auto"/>
        </w:rPr>
      </w:pPr>
    </w:p>
    <w:p>
      <w:pPr>
        <w:ind w:left="820" w:right="40" w:hanging="340"/>
        <w:spacing w:after="0" w:line="261"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179" w:lineRule="exact"/>
        <w:rPr>
          <w:rFonts w:ascii="Times New Roman" w:cs="Times New Roman" w:eastAsia="Times New Roman" w:hAnsi="Times New Roman"/>
          <w:sz w:val="18"/>
          <w:szCs w:val="18"/>
          <w:color w:val="auto"/>
        </w:rPr>
      </w:pPr>
    </w:p>
    <w:p>
      <w:pPr>
        <w:ind w:left="820" w:right="420" w:hanging="340"/>
        <w:spacing w:after="0" w:line="282"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initiation, enrollment or dosing of patients in clinical trials, the announcement of clinical trial results and our receipt of necessary regulatory approvals (if any) could be delayed or prevented.</w:t>
      </w:r>
    </w:p>
    <w:p>
      <w:pPr>
        <w:spacing w:after="0" w:line="161" w:lineRule="exact"/>
        <w:rPr>
          <w:rFonts w:ascii="Times New Roman" w:cs="Times New Roman" w:eastAsia="Times New Roman" w:hAnsi="Times New Roman"/>
          <w:sz w:val="18"/>
          <w:szCs w:val="18"/>
          <w:color w:val="auto"/>
        </w:rPr>
      </w:pPr>
    </w:p>
    <w:p>
      <w:pPr>
        <w:ind w:left="840" w:right="60" w:hanging="360"/>
        <w:spacing w:after="0" w:line="312" w:lineRule="auto"/>
        <w:tabs>
          <w:tab w:leader="none" w:pos="8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139" w:lineRule="exact"/>
        <w:rPr>
          <w:rFonts w:ascii="Times New Roman" w:cs="Times New Roman" w:eastAsia="Times New Roman" w:hAnsi="Times New Roman"/>
          <w:sz w:val="17"/>
          <w:szCs w:val="17"/>
          <w:color w:val="auto"/>
        </w:rPr>
      </w:pPr>
    </w:p>
    <w:p>
      <w:pPr>
        <w:jc w:val="both"/>
        <w:ind w:left="820" w:right="80" w:hanging="340"/>
        <w:spacing w:after="0" w:line="266"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796290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4" w:name="page5"/>
    <w:bookmarkEnd w:id="4"/>
    <w:p>
      <w:pPr>
        <w:jc w:val="both"/>
        <w:ind w:left="360" w:right="140" w:hanging="360"/>
        <w:spacing w:after="0" w:line="312" w:lineRule="auto"/>
        <w:tabs>
          <w:tab w:leader="none" w:pos="3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39" w:lineRule="exact"/>
        <w:rPr>
          <w:rFonts w:ascii="Times New Roman" w:cs="Times New Roman" w:eastAsia="Times New Roman" w:hAnsi="Times New Roman"/>
          <w:sz w:val="17"/>
          <w:szCs w:val="17"/>
          <w:color w:val="auto"/>
        </w:rPr>
      </w:pPr>
    </w:p>
    <w:p>
      <w:pPr>
        <w:ind w:left="340" w:right="140" w:hanging="340"/>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may materially and adversely affect our business and our financial results and could cause a disruption to the development of our product candidates and the initiation and completion of clinical trials.</w:t>
      </w:r>
    </w:p>
    <w:p>
      <w:pPr>
        <w:spacing w:after="0" w:line="161" w:lineRule="exact"/>
        <w:rPr>
          <w:rFonts w:ascii="Times New Roman" w:cs="Times New Roman" w:eastAsia="Times New Roman" w:hAnsi="Times New Roman"/>
          <w:sz w:val="18"/>
          <w:szCs w:val="18"/>
          <w:color w:val="auto"/>
        </w:rPr>
      </w:pPr>
    </w:p>
    <w:p>
      <w:pPr>
        <w:ind w:left="360" w:hanging="360"/>
        <w:spacing w:after="0" w:line="261" w:lineRule="auto"/>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expect to continue to rely, on third parties to conduct our clinical trials, as well as investigator-sponsored clinical trials of our product candidates (if any).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79" w:lineRule="exact"/>
        <w:rPr>
          <w:rFonts w:ascii="Times New Roman" w:cs="Times New Roman" w:eastAsia="Times New Roman" w:hAnsi="Times New Roman"/>
          <w:sz w:val="18"/>
          <w:szCs w:val="18"/>
          <w:color w:val="auto"/>
        </w:rPr>
      </w:pPr>
    </w:p>
    <w:p>
      <w:pPr>
        <w:ind w:left="340" w:right="120" w:hanging="340"/>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a limited number of third parties for the manufacture of our product candidates for preclinical development and clinical trials and expect to continue to do so for future clinical testing and commercialization (if approved).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79" w:lineRule="exact"/>
        <w:rPr>
          <w:rFonts w:ascii="Times New Roman" w:cs="Times New Roman" w:eastAsia="Times New Roman" w:hAnsi="Times New Roman"/>
          <w:sz w:val="18"/>
          <w:szCs w:val="18"/>
          <w:color w:val="auto"/>
        </w:rPr>
      </w:pPr>
    </w:p>
    <w:p>
      <w:pPr>
        <w:ind w:left="340" w:right="40" w:hanging="340"/>
        <w:spacing w:after="0" w:line="25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very limited number of third parties for the supply of the active pharmaceutical ingredients, or API, and drug product to be used in our product candidates (for example, an affiliate of WuXi AppTec is the sole source of API for all of our clinical-stage product candidates), and WuXi AppTec has been the subject of proposed Congressional legislation that, if enacted, could materially restrict our ability to conduct business with, and obtain API from, WuXi AppTec. The loss of any of these suppliers, including WuXi AppTec, could significantly harm our business.</w:t>
      </w:r>
    </w:p>
    <w:p>
      <w:pPr>
        <w:spacing w:after="0" w:line="183" w:lineRule="exact"/>
        <w:rPr>
          <w:rFonts w:ascii="Times New Roman" w:cs="Times New Roman" w:eastAsia="Times New Roman" w:hAnsi="Times New Roman"/>
          <w:sz w:val="18"/>
          <w:szCs w:val="18"/>
          <w:color w:val="auto"/>
        </w:rPr>
      </w:pPr>
    </w:p>
    <w:p>
      <w:pPr>
        <w:ind w:left="340" w:right="360" w:hanging="340"/>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obtain new patents, maintain our existing patents and protect the confidentiality and proprietary nature of our trade secrets and other intellectual property, our business and competitive position may be harmed.</w:t>
      </w:r>
    </w:p>
    <w:p>
      <w:pPr>
        <w:spacing w:after="0" w:line="161" w:lineRule="exact"/>
        <w:rPr>
          <w:rFonts w:ascii="Times New Roman" w:cs="Times New Roman" w:eastAsia="Times New Roman" w:hAnsi="Times New Roman"/>
          <w:sz w:val="18"/>
          <w:szCs w:val="18"/>
          <w:color w:val="auto"/>
        </w:rPr>
      </w:pPr>
    </w:p>
    <w:p>
      <w:pPr>
        <w:ind w:left="340" w:right="20" w:hanging="340"/>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found to be infringing third party patents, we may be forced to pay damages to the patent owner and/or obtain a license to continue the manufacture, sale or development of our products. If we cannot obtain a license, we may be prevented from the manufacture, sale or development of our products or product candidates, which may adversely affect our business.</w:t>
      </w:r>
    </w:p>
    <w:p>
      <w:pPr>
        <w:spacing w:after="0" w:line="175" w:lineRule="exact"/>
        <w:rPr>
          <w:rFonts w:ascii="Times New Roman" w:cs="Times New Roman" w:eastAsia="Times New Roman" w:hAnsi="Times New Roman"/>
          <w:sz w:val="18"/>
          <w:szCs w:val="18"/>
          <w:color w:val="auto"/>
        </w:rPr>
      </w:pPr>
    </w:p>
    <w:p>
      <w:pPr>
        <w:ind w:left="340" w:hanging="340"/>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combination therapies may present more or different challenges than development of single agent therapies.</w:t>
      </w:r>
    </w:p>
    <w:p>
      <w:pPr>
        <w:spacing w:after="0" w:line="33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00" w:top="1309"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express or implied forward-looking statements within the meaning of Section 27A of the Securities Act of 1933, as amended, and Section 21E of the Securities Exchange Act of 1934, as amended (the “Exchange Act”). Words such as "anticipates," "continue," "could," "may," "forecasts," "expects," "intends," "plans," "potentially," "believes," "seeks," "estimates," "predict," "target," and variations of such words and similar expressions are intended to identify such forward-looking statements, although not all forward-looking statements contain these identifying words. Forward-looking statements are not guarantees of future performance and are subject to certain risks, uncertainties, and assumptions that are difficult to predict; therefore, actual results may differ materially from those expressed or forecasted in any such statements. Such forward-looking statements are based on current expectations, estimates and projections about our industry and business, management's beliefs, and certain assumptions made by our management, and may include, but are not limited to, statements regarding:</w:t>
      </w:r>
    </w:p>
    <w:p>
      <w:pPr>
        <w:spacing w:after="0" w:line="192" w:lineRule="exact"/>
        <w:rPr>
          <w:sz w:val="20"/>
          <w:szCs w:val="20"/>
          <w:color w:val="auto"/>
        </w:rPr>
      </w:pPr>
    </w:p>
    <w:p>
      <w:pPr>
        <w:ind w:left="820" w:right="60" w:hanging="340"/>
        <w:spacing w:after="0" w:line="256"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and combination clinical trials, including statements regarding the timing of IND filings and acceptance, active enrollment and dosing in clinical trials (including combination clinical trials), future plans for dose expansions, and initiation and completion of studies or clinical trials (including combination trials), plans for filing a registrational trial in TNG462, and related preparatory work, and the period during which the results of the clinical trials (including initial and final trial results) will become available (such as the clinical data update from the ongoing TNG462 clinical trial and the data from the ongoing TNG260 clinical trial, both expected in 2025);</w:t>
      </w:r>
    </w:p>
    <w:p>
      <w:pPr>
        <w:spacing w:after="0" w:line="187" w:lineRule="exact"/>
        <w:rPr>
          <w:rFonts w:ascii="Times New Roman" w:cs="Times New Roman" w:eastAsia="Times New Roman" w:hAnsi="Times New Roman"/>
          <w:sz w:val="18"/>
          <w:szCs w:val="18"/>
          <w:color w:val="auto"/>
        </w:rPr>
      </w:pPr>
    </w:p>
    <w:p>
      <w:pPr>
        <w:ind w:left="820" w:right="520" w:hanging="340"/>
        <w:spacing w:after="0" w:line="312" w:lineRule="auto"/>
        <w:tabs>
          <w:tab w:leader="none" w:pos="8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discover and develop product candidates efficiently (including the advancement of development candidates on the timelines identified and the ability to identify and contract with clinical trial sites and investigators to use our product candidates in trials);</w:t>
      </w:r>
    </w:p>
    <w:p>
      <w:pPr>
        <w:spacing w:after="0" w:line="139" w:lineRule="exact"/>
        <w:rPr>
          <w:rFonts w:ascii="Times New Roman" w:cs="Times New Roman" w:eastAsia="Times New Roman" w:hAnsi="Times New Roman"/>
          <w:sz w:val="17"/>
          <w:szCs w:val="17"/>
          <w:color w:val="auto"/>
        </w:rPr>
      </w:pPr>
    </w:p>
    <w:p>
      <w:pPr>
        <w:ind w:left="820" w:right="420" w:hanging="340"/>
        <w:spacing w:after="0" w:line="282"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potential (or those of third parties) to manufacture our drug product, drug substance and product candidates successfully for preclinical use, for clinical trials and on a larger scale for commercial use, if approved;</w:t>
      </w:r>
    </w:p>
    <w:p>
      <w:pPr>
        <w:spacing w:after="0" w:line="161" w:lineRule="exact"/>
        <w:rPr>
          <w:rFonts w:ascii="Times New Roman" w:cs="Times New Roman" w:eastAsia="Times New Roman" w:hAnsi="Times New Roman"/>
          <w:sz w:val="18"/>
          <w:szCs w:val="18"/>
          <w:color w:val="auto"/>
        </w:rPr>
      </w:pPr>
    </w:p>
    <w:p>
      <w:pPr>
        <w:ind w:left="820" w:right="20" w:hanging="340"/>
        <w:spacing w:after="0" w:line="282"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license and to continue research and development activities relating to our development candidates and product candidates;</w:t>
      </w:r>
    </w:p>
    <w:p>
      <w:pPr>
        <w:spacing w:after="0" w:line="161" w:lineRule="exact"/>
        <w:rPr>
          <w:rFonts w:ascii="Times New Roman" w:cs="Times New Roman" w:eastAsia="Times New Roman" w:hAnsi="Times New Roman"/>
          <w:sz w:val="18"/>
          <w:szCs w:val="18"/>
          <w:color w:val="auto"/>
        </w:rPr>
      </w:pPr>
    </w:p>
    <w:p>
      <w:pPr>
        <w:ind w:left="820" w:right="460" w:hanging="340"/>
        <w:spacing w:after="0" w:line="266"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at least into the third quarter of 2026);</w:t>
      </w:r>
    </w:p>
    <w:p>
      <w:pPr>
        <w:spacing w:after="0" w:line="175" w:lineRule="exact"/>
        <w:rPr>
          <w:rFonts w:ascii="Times New Roman" w:cs="Times New Roman" w:eastAsia="Times New Roman" w:hAnsi="Times New Roman"/>
          <w:sz w:val="18"/>
          <w:szCs w:val="18"/>
          <w:color w:val="auto"/>
        </w:rPr>
      </w:pPr>
    </w:p>
    <w:p>
      <w:pPr>
        <w:ind w:left="820" w:right="20" w:hanging="340"/>
        <w:spacing w:after="0" w:line="266"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if approved, maintain regulatory approval of our product candidates (as well as approval or clearance of screening tests and companion diagnostic tests for our product candidates) and the potential paths to approval in the first line setting for TNG462 in MTAP-deleted pancreatic and lung cancer;</w:t>
      </w:r>
    </w:p>
    <w:p>
      <w:pPr>
        <w:spacing w:after="0" w:line="175"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225"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225"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225" w:lineRule="exact"/>
        <w:rPr>
          <w:rFonts w:ascii="Times New Roman" w:cs="Times New Roman" w:eastAsia="Times New Roman" w:hAnsi="Times New Roman"/>
          <w:sz w:val="18"/>
          <w:szCs w:val="18"/>
          <w:color w:val="auto"/>
        </w:rPr>
      </w:pPr>
    </w:p>
    <w:p>
      <w:pPr>
        <w:ind w:left="820" w:right="220" w:hanging="340"/>
        <w:spacing w:after="0" w:line="282"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our ability to enforce our intellectual property rights;</w:t>
      </w:r>
    </w:p>
    <w:p>
      <w:pPr>
        <w:spacing w:after="0" w:line="161"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capital requirements, and our need for additional financing;</w:t>
      </w:r>
    </w:p>
    <w:p>
      <w:pPr>
        <w:spacing w:after="0" w:line="225" w:lineRule="exact"/>
        <w:rPr>
          <w:rFonts w:ascii="Times New Roman" w:cs="Times New Roman" w:eastAsia="Times New Roman" w:hAnsi="Times New Roman"/>
          <w:sz w:val="18"/>
          <w:szCs w:val="18"/>
          <w:color w:val="auto"/>
        </w:rPr>
      </w:pPr>
    </w:p>
    <w:p>
      <w:pPr>
        <w:ind w:left="820" w:right="200" w:hanging="340"/>
        <w:spacing w:after="0" w:line="282"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61" w:lineRule="exact"/>
        <w:rPr>
          <w:rFonts w:ascii="Times New Roman" w:cs="Times New Roman" w:eastAsia="Times New Roman" w:hAnsi="Times New Roman"/>
          <w:sz w:val="18"/>
          <w:szCs w:val="18"/>
          <w:color w:val="auto"/>
        </w:rPr>
      </w:pPr>
    </w:p>
    <w:p>
      <w:pPr>
        <w:ind w:left="820" w:right="500" w:hanging="340"/>
        <w:spacing w:after="0" w:line="282"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(if approved) and any other approved products;</w:t>
      </w:r>
    </w:p>
    <w:p>
      <w:pPr>
        <w:spacing w:after="0" w:line="161"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ind w:left="820" w:hanging="340"/>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including the expectation that we will continue to incur operating losses and negative cash flow;</w:t>
      </w:r>
    </w:p>
    <w:p>
      <w:pPr>
        <w:spacing w:after="0" w:line="225"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 if approved;</w:t>
      </w:r>
    </w:p>
    <w:p>
      <w:pPr>
        <w:spacing w:after="0" w:line="225" w:lineRule="exact"/>
        <w:rPr>
          <w:rFonts w:ascii="Times New Roman" w:cs="Times New Roman" w:eastAsia="Times New Roman" w:hAnsi="Times New Roman"/>
          <w:sz w:val="18"/>
          <w:szCs w:val="18"/>
          <w:color w:val="auto"/>
        </w:rPr>
      </w:pPr>
    </w:p>
    <w:p>
      <w:pPr>
        <w:ind w:left="820" w:right="200" w:hanging="340"/>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 including product approval requirements and pricing regulations by U.S. regulatory authorities (such as the Centers for Medicare &amp; Medicaid Services) and foreign regulatory authorities;</w:t>
      </w:r>
    </w:p>
    <w:p>
      <w:pPr>
        <w:spacing w:after="0" w:line="161"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225" w:lineRule="exact"/>
        <w:rPr>
          <w:rFonts w:ascii="Times New Roman" w:cs="Times New Roman" w:eastAsia="Times New Roman" w:hAnsi="Times New Roman"/>
          <w:sz w:val="18"/>
          <w:szCs w:val="18"/>
          <w:color w:val="auto"/>
        </w:rPr>
      </w:pPr>
    </w:p>
    <w:p>
      <w:pPr>
        <w:ind w:left="820" w:right="80" w:hanging="340"/>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third parties with whom we contract) to produce our products or product candidates with advantages in turnaround times or manufacturing cost;</w:t>
      </w:r>
    </w:p>
    <w:p>
      <w:pPr>
        <w:spacing w:after="0" w:line="161" w:lineRule="exact"/>
        <w:rPr>
          <w:rFonts w:ascii="Times New Roman" w:cs="Times New Roman" w:eastAsia="Times New Roman" w:hAnsi="Times New Roman"/>
          <w:sz w:val="18"/>
          <w:szCs w:val="18"/>
          <w:color w:val="auto"/>
        </w:rPr>
      </w:pPr>
    </w:p>
    <w:p>
      <w:pPr>
        <w:ind w:left="820" w:right="320" w:hanging="340"/>
        <w:spacing w:after="0" w:line="312" w:lineRule="auto"/>
        <w:tabs>
          <w:tab w:leader="none" w:pos="8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deliver the deep, sustained target inhibition necessary to optimize tumor response and clinical benefit as a result of the unique ability of synthetic lethal targeting to spare normal cells, as well as the success of competing therapies that are or may become available;</w:t>
      </w:r>
    </w:p>
    <w:p>
      <w:pPr>
        <w:spacing w:after="0" w:line="139" w:lineRule="exact"/>
        <w:rPr>
          <w:rFonts w:ascii="Times New Roman" w:cs="Times New Roman" w:eastAsia="Times New Roman" w:hAnsi="Times New Roman"/>
          <w:sz w:val="17"/>
          <w:szCs w:val="17"/>
          <w:color w:val="auto"/>
        </w:rPr>
      </w:pPr>
    </w:p>
    <w:p>
      <w:pPr>
        <w:ind w:left="820" w:hanging="340"/>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225"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225"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industry;</w:t>
      </w:r>
    </w:p>
    <w:p>
      <w:pPr>
        <w:spacing w:after="0" w:line="225" w:lineRule="exact"/>
        <w:rPr>
          <w:rFonts w:ascii="Times New Roman" w:cs="Times New Roman" w:eastAsia="Times New Roman" w:hAnsi="Times New Roman"/>
          <w:sz w:val="18"/>
          <w:szCs w:val="18"/>
          <w:color w:val="auto"/>
        </w:rPr>
      </w:pPr>
    </w:p>
    <w:p>
      <w:pPr>
        <w:ind w:left="820" w:right="20" w:hanging="340"/>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health crises on our business operations, including but not limited to our preclinical studies and clinical trials and any future studies or trials;</w:t>
      </w:r>
    </w:p>
    <w:p>
      <w:pPr>
        <w:spacing w:after="0" w:line="161" w:lineRule="exact"/>
        <w:rPr>
          <w:rFonts w:ascii="Times New Roman" w:cs="Times New Roman" w:eastAsia="Times New Roman" w:hAnsi="Times New Roman"/>
          <w:sz w:val="18"/>
          <w:szCs w:val="18"/>
          <w:color w:val="auto"/>
        </w:rPr>
      </w:pPr>
    </w:p>
    <w:p>
      <w:pPr>
        <w:ind w:left="820" w:right="80" w:hanging="340"/>
        <w:spacing w:after="0" w:line="266"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use of our drugs in patients as single agents and/or in combination, including our belief that TNG260 could be among the first oncology molecules to leverage the benefits of genetically-based patient selection (STK11-mutation) with checkpoint inhibitor therapy; and our belief that TNG462 has the potential to be a best-in-class molecule; and</w:t>
      </w:r>
    </w:p>
    <w:p>
      <w:pPr>
        <w:spacing w:after="0" w:line="175" w:lineRule="exact"/>
        <w:rPr>
          <w:rFonts w:ascii="Times New Roman" w:cs="Times New Roman" w:eastAsia="Times New Roman" w:hAnsi="Times New Roman"/>
          <w:sz w:val="18"/>
          <w:szCs w:val="18"/>
          <w:color w:val="auto"/>
        </w:rPr>
      </w:pPr>
    </w:p>
    <w:p>
      <w:pPr>
        <w:ind w:left="820" w:right="560" w:hanging="340"/>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in Part I, Item 1A of this Annual Report on Form 10-K under the section titled “Risk Factors.”</w:t>
      </w:r>
    </w:p>
    <w:p>
      <w:pPr>
        <w:spacing w:after="0" w:line="162"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Part I, Item 1A of this Annual Report on Form 10-K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 Item 1A of this Annual Report on Form 10-K. Should one or more of these risks or uncertainties materialize, or should any of our assumptions prove incorrect, actual results may vary in material respects from those projected in these forward-looking statements. There may be additional risks that we currently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firstLine="584"/>
        <w:spacing w:after="0" w:line="258" w:lineRule="auto"/>
        <w:rPr>
          <w:sz w:val="20"/>
          <w:szCs w:val="20"/>
          <w:color w:val="auto"/>
        </w:rPr>
      </w:pPr>
      <w:r>
        <w:rPr>
          <w:rFonts w:ascii="Times New Roman" w:cs="Times New Roman" w:eastAsia="Times New Roman" w:hAnsi="Times New Roman"/>
          <w:sz w:val="18"/>
          <w:szCs w:val="18"/>
          <w:color w:val="auto"/>
        </w:rPr>
        <w:t>We were formerly known as BCTG Acquisition Corp., or BCTG, and were incorporated in Delaware in May 2020 as a special purpose acquisition company, formed for the purpose of effecting a merger, capital stock exchange, asset acquisition, stock purchase, reorganization or other similar business combination. On August 10, 2021, we consummated the merger pursuant to the Agreement and Plan of Merger, dated as of April 13, 2021, by and among BCTG, BCTG Merger Sub Inc. and Tango Therapeutics Sub, Inc. Upon the consummation of the merger, we changed our name to Tango Therapeutics, Inc.</w:t>
      </w:r>
    </w:p>
    <w:p>
      <w:pPr>
        <w:spacing w:after="0" w:line="183" w:lineRule="exact"/>
        <w:rPr>
          <w:sz w:val="20"/>
          <w:szCs w:val="20"/>
          <w:color w:val="auto"/>
        </w:rPr>
      </w:pPr>
    </w:p>
    <w:p>
      <w:pPr>
        <w:ind w:right="260" w:firstLine="584"/>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w:t>
      </w:r>
    </w:p>
    <w:p>
      <w:pPr>
        <w:spacing w:after="0" w:line="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7" w:name="page8"/>
    <w:bookmarkEnd w:id="7"/>
    <w:p>
      <w:pPr>
        <w:spacing w:after="0" w:line="256" w:lineRule="auto"/>
        <w:rPr>
          <w:sz w:val="20"/>
          <w:szCs w:val="20"/>
          <w:color w:val="auto"/>
        </w:rPr>
      </w:pPr>
      <w:r>
        <w:rPr>
          <w:rFonts w:ascii="Times New Roman" w:cs="Times New Roman" w:eastAsia="Times New Roman" w:hAnsi="Times New Roman"/>
          <w:sz w:val="18"/>
          <w:szCs w:val="18"/>
          <w:color w:val="auto"/>
        </w:rPr>
        <w:t xml:space="preserve">portion of our website free of charge as soon as reasonably practicable after we electronically file such material with, or furnish it to, the Securities and Exchange Commission, or SEC. </w:t>
      </w:r>
      <w:r>
        <w:rPr>
          <w:rFonts w:ascii="Times New Roman" w:cs="Times New Roman" w:eastAsia="Times New Roman" w:hAnsi="Times New Roman"/>
          <w:sz w:val="19"/>
          <w:szCs w:val="19"/>
          <w:color w:val="auto"/>
        </w:rPr>
        <w:t>W</w:t>
      </w:r>
      <w:r>
        <w:rPr>
          <w:rFonts w:ascii="Times New Roman" w:cs="Times New Roman" w:eastAsia="Times New Roman" w:hAnsi="Times New Roman"/>
          <w:sz w:val="18"/>
          <w:szCs w:val="18"/>
          <w:color w:val="auto"/>
        </w:rPr>
        <w:t>e also make available, free of charge on our website, the reports filed with the SEC by our executive officers, directors and 10% stockholders pursuant to Section 16 under the Exchange Act as soon as reasonably practicable a</w:t>
      </w:r>
      <w:r>
        <w:rPr>
          <w:rFonts w:ascii="Times New Roman" w:cs="Times New Roman" w:eastAsia="Times New Roman" w:hAnsi="Times New Roman"/>
          <w:sz w:val="19"/>
          <w:szCs w:val="19"/>
          <w:color w:val="auto"/>
        </w:rPr>
        <w:t>f</w:t>
      </w:r>
      <w:r>
        <w:rPr>
          <w:rFonts w:ascii="Times New Roman" w:cs="Times New Roman" w:eastAsia="Times New Roman" w:hAnsi="Times New Roman"/>
          <w:sz w:val="18"/>
          <w:szCs w:val="18"/>
          <w:color w:val="auto"/>
        </w:rPr>
        <w:t>ter copies of those filings are provided to us by those persons</w:t>
      </w:r>
      <w:r>
        <w:rPr>
          <w:rFonts w:ascii="Times New Roman" w:cs="Times New Roman" w:eastAsia="Times New Roman" w:hAnsi="Times New Roman"/>
          <w:sz w:val="19"/>
          <w:szCs w:val="19"/>
          <w:color w:val="auto"/>
        </w:rPr>
        <w:t>. A</w:t>
      </w:r>
      <w:r>
        <w:rPr>
          <w:rFonts w:ascii="Times New Roman" w:cs="Times New Roman" w:eastAsia="Times New Roman" w:hAnsi="Times New Roman"/>
          <w:sz w:val="18"/>
          <w:szCs w:val="18"/>
          <w:color w:val="auto"/>
        </w:rPr>
        <w:t>ccordingly, investors should monitor such portions of the Company’s website, in addition to following the Company’s press releases, SEC filings and public conference calls and webcasts (if any). Information on our website is not to be deemed to be incorporated by reference in, and is not part of, this Annual Report on Form 10-K or any of our other securities filings, unless specifically incorporated herein by reference, and should not be relied upon in making a decision as to whether or not to purchase our common stock.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85" w:lineRule="exact"/>
        <w:rPr>
          <w:sz w:val="20"/>
          <w:szCs w:val="20"/>
          <w:color w:val="auto"/>
        </w:rPr>
      </w:pPr>
    </w:p>
    <w:p>
      <w:pPr>
        <w:ind w:right="160" w:firstLine="584"/>
        <w:spacing w:after="0" w:line="258" w:lineRule="auto"/>
        <w:rPr>
          <w:sz w:val="20"/>
          <w:szCs w:val="20"/>
          <w:color w:val="auto"/>
        </w:rPr>
      </w:pPr>
      <w:r>
        <w:rPr>
          <w:rFonts w:ascii="Times New Roman" w:cs="Times New Roman" w:eastAsia="Times New Roman" w:hAnsi="Times New Roman"/>
          <w:sz w:val="18"/>
          <w:szCs w:val="18"/>
          <w:color w:val="auto"/>
        </w:rPr>
        <w:t>Further, the Company intends to use its website at http://www.tangotx.com as a means of disclosing material non-public information and for complying with its disclosure obligations under the SEC Regulation FD. Such disclosures will be included on the Company’s website under the heading “Investors.” Accordingly, investors should monitor such portions of the Company’s website, in addition to following the Company’s press releases, SEC filings and public conference calls and webcasts (if any). The information contained on, or that may be accessed through, the website is not part of, and is not incorporated into, this Annual Report on Form 10-K.</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principal executive office is located at 201 Brookline Avenue, Suite 901, Boston, Massachusetts 02215.</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 w:name="page9"/>
    <w:bookmarkEnd w:id="8"/>
    <w:p>
      <w:pPr>
        <w:ind w:left="2700"/>
        <w:spacing w:after="0"/>
        <w:rPr>
          <w:sz w:val="20"/>
          <w:szCs w:val="20"/>
          <w:color w:val="auto"/>
        </w:rPr>
      </w:pPr>
      <w:r>
        <w:rPr>
          <w:rFonts w:ascii="Times New Roman" w:cs="Times New Roman" w:eastAsia="Times New Roman" w:hAnsi="Times New Roman"/>
          <w:sz w:val="18"/>
          <w:szCs w:val="18"/>
          <w:b w:val="1"/>
          <w:bCs w:val="1"/>
          <w:color w:val="auto"/>
        </w:rPr>
        <w:t>USE OF DEFINED TERMS IN THIS ANNUAL REPORT ON FORM 10-K</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Unless the context otherwise requires in this Annual Report on Form 10-K for the year ended December 31, 2024 we use the following defined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w:t>
      </w:r>
    </w:p>
    <w:p>
      <w:pPr>
        <w:spacing w:after="0" w:line="20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Annual Report” means this Annual Report on Form 10-K for the year ended December 31, 2024;</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“we", “our” and “us” mean Tango Therapeutics, Inc. and its wholly-owned subsidiaries;</w:t>
      </w:r>
    </w:p>
    <w:p>
      <w:pPr>
        <w:spacing w:after="0" w:line="225"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means the merger of BCTG Merger Sub Inc. with and into Tango Therapeutics, Inc. (now known as Tango Therapeutics Sub, Inc.) on August 10, 2021, with Tango Therapeutics, Inc. as the surviving company in the merger as a wholly-owned subsidiary of BCTG Acquisition Corp. (now known as Tango Therapeutics, Inc.);</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“CNS” means central nervous system.</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“CoREST” means Co-repressor of Repressor Element-1 Silencing Transcription;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“CSF” means cerebrospinal fluid;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means U.S. Food and Drug Administration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means Gilead Sciences, Inc.;</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“GBM” means glioblastoma;</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 means Investigational New Drug application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“MTA” means methylthioadenosine;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“MTAP” means methylthioadenosine phosphorylase;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“NSCLC” means non-small cell lung cancer;</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“PRMT5” means protein arginine methyltransferase 5;</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“RANO” means Response Assessment in Neuro-Oncology;</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 means S-adenosyl-L-methionine;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“STK11” means serine-threonine kinase 11;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“USP1” means ubiquitin-specific protease 1.</w:t>
      </w: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089" w:right="67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Tango Therapeutics was founded with a clear mission: to discover the next wave of targeted therapies in oncology by addressing the specific genetic alterations that drive cancer. We leverage our state-of-the-art target discovery platform to identify novel targets and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genetic alterations, killing those cancer cells while sparing normal cells. We also are extending this target space beyond the classic, cell-autonomous effects of tumor suppressor gene loss to include the discovery of novel targets that reverse tumor suppressor gene mediated immune evasion which prevents the immune system from recognizing and killing cancer cells. We believe our approach will provide the ability to deliver deep, durable target inhibition with favorable tolerability and safety profiles, thus potentially maximizing clinical benefit.</w:t>
      </w:r>
    </w:p>
    <w:p>
      <w:pPr>
        <w:spacing w:after="0" w:line="192"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We are currently developing two MTA-cooperative PRMT5 inhibitors: TNG462 for non-CNS cancers, including pancreatic and lung cancer, and TNG456, our next-generation, brain-penetrant PRMT5 inhibitor, for CNS cancers, including GBM.</w:t>
      </w:r>
    </w:p>
    <w:p>
      <w:pPr>
        <w:spacing w:after="0" w:line="16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November 2024, we reported positive early data from the ongoing Phase 1/2 clinical trial of TNG462, demonstrating durable clinical activity across multiple cancer types with a good safety and tolerability profile. We are currently enrolling patients in the ongoing TNG462 Phase 1/2 monotherapy clinical trial and plan to provide a clinical data update on TNG462 in 2025. Additionally, we plan to begin enrollment in multiple combinations involving TNG462 in 2025. We have initiated a robust clinical development program for TNG462, and plan to pursue monotherapy registrational clinical trials in 2026.</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November 2024, we also announced data from the Phase 1/2 clinical trial of TNG908, our first brain-penetrant PRMT5 inhibitor. The data demonstrated durable clinical activity, including RECIST partial responses across multiple tumor types (including pancreatic and lung cancer) and a good safety and tolerability profile. However, we did not observe any responses by RANO criteria in GBM, a development focus of the TNG908 program. Given that TNG462 has more favorable pharmacokinetic, pharmacodynamic and safety characteristics than TNG908, we stopped enrollment of the TNG908 clinical trial and discontinued further development in order to fully resource TNG462 and TNG456 development.</w:t>
      </w:r>
    </w:p>
    <w:p>
      <w:pPr>
        <w:spacing w:after="0" w:line="183" w:lineRule="exact"/>
        <w:rPr>
          <w:sz w:val="20"/>
          <w:szCs w:val="20"/>
          <w:color w:val="auto"/>
        </w:rPr>
      </w:pPr>
    </w:p>
    <w:p>
      <w:pPr>
        <w:jc w:val="both"/>
        <w:ind w:right="420" w:firstLine="749"/>
        <w:spacing w:after="0" w:line="266" w:lineRule="auto"/>
        <w:rPr>
          <w:sz w:val="20"/>
          <w:szCs w:val="20"/>
          <w:color w:val="auto"/>
        </w:rPr>
      </w:pPr>
      <w:r>
        <w:rPr>
          <w:rFonts w:ascii="Times New Roman" w:cs="Times New Roman" w:eastAsia="Times New Roman" w:hAnsi="Times New Roman"/>
          <w:sz w:val="18"/>
          <w:szCs w:val="18"/>
          <w:color w:val="auto"/>
        </w:rPr>
        <w:t>Based on preclinical TNG456 data showing enhanced potency and MTAP selectivity compared to TNG908 and sufficient brain penetrance, TNG456 will move into clinical development and focus on GBM. The FDA cleared the TNG456 IND in January 2025 and we plan to begin enrolling patients in a Phase 1/2 clinical trial the first half of 2025.</w:t>
      </w:r>
    </w:p>
    <w:p>
      <w:pPr>
        <w:spacing w:after="0" w:line="176"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TNG260 is a first-in-class CoREST inhibitor, which in preclinical studies reversed the immune evasion effect of STK11 loss-of-function mutations. TNG260 has a favorable safety, tolerability and pharmacokinetic profile in dose escalation and clinical proof-of-mechanism now has been established based on pharmacodynamic data from on-treatment patient biopsies. We are enrolling patients in the dose expansion portion of the Phase 1/2 trial and we plan to provide clinical data for TNG260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We are leveraging the power and productivity of our discovery engine to discover and validate multiple novel targets each year. Our growing pipeline consists of discovery programs for multiple cancer types that currently have limited treatment options, as summarized in Figure 1.</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Figure 1. Tango Therapeutics'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155575</wp:posOffset>
            </wp:positionV>
            <wp:extent cx="5760720" cy="2220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0720" cy="222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We are pioneering novel approaches to the discovery and development of innovative targeted oncology therapies. We leverage the following core strategic components, enabling the pursuit of transformative therapies for patients with cancer:</w:t>
      </w:r>
    </w:p>
    <w:p>
      <w:pPr>
        <w:spacing w:after="0" w:line="54" w:lineRule="exact"/>
        <w:rPr>
          <w:sz w:val="20"/>
          <w:szCs w:val="20"/>
          <w:color w:val="auto"/>
        </w:rPr>
      </w:pPr>
    </w:p>
    <w:p>
      <w:pPr>
        <w:ind w:left="1020" w:right="1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clinical development of TNG462 as a monotherapy and in combination with other therapies in clinical trials to enable multiple registration paths, with our ultimate goal of enabling studies of TNG462 for the first-line treatment of MTAP-deleted pancreatic and lung cancer, both of which are markets with large addressable patient populations and high unmet need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clinical development of TNG456 into a Phase 1/2 clinical trial focused on GBM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clinical development of TNG260, an immunotherapy targeting genetically defined patients with STK11-mutant lung cancer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and drug the next generation of synthetic lethal precision oncology targets to continue to grow our pipeline</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Opportunistically evaluate and maximize the value of strategic collaborations to bring more medicines to patients, accelerate development timelines and explore combination therapy approaches for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Unmet need of cancers caused by tumor suppressor gene loss</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Many genetic drivers of cancer have been well-characterized but have not been directly targeted due to their molecular structure (undruggable oncogenes) or functional loss (tumor suppressor genes). Tumor suppressor gene loss represents a significant portion of the many genetic alterations that drive the formation of cancers, but it remains a largely unaddressed target space. Targeting tumor suppressor gene loss directly is not possible because they are deleted or inactivated, and the immune evasion effects of tumor suppressor gene loss have only recently been described. We are using the concept of synthetic lethality to address the unmet medical need of large groups of patients characterized by tumor suppressor gene loss and activation of immune evasion genes.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Synthetic lethality to address tumor suppressor gene loss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Synthetic lethal therapies for cancer refers to pairs of genes in which one is inactivated by a genetic alteration and the other is inhibited pharmacologically. While genetic alterations give rise to the development of cancer, they also create a unique vulnerability that can be exploited therapeutically. Biologically, such vulnerability can be the inability of cancer cells to respond to a specific signal, such as DNA damage or cell cycle arrest, or the inability to remodel chromatin or to maintain cellular homeostasis. The unique advantage of a synthetic lethal approach to cancer therapy is that normal cells are not</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7" w:right="379" w:bottom="1440" w:gutter="0" w:footer="0" w:header="0"/>
        </w:sectPr>
      </w:pPr>
    </w:p>
    <w:bookmarkStart w:id="11" w:name="page12"/>
    <w:bookmarkEnd w:id="11"/>
    <w:p>
      <w:pPr>
        <w:ind w:right="20"/>
        <w:spacing w:after="0" w:line="266" w:lineRule="auto"/>
        <w:rPr>
          <w:sz w:val="20"/>
          <w:szCs w:val="20"/>
          <w:color w:val="auto"/>
        </w:rPr>
      </w:pPr>
      <w:r>
        <w:rPr>
          <w:rFonts w:ascii="Times New Roman" w:cs="Times New Roman" w:eastAsia="Times New Roman" w:hAnsi="Times New Roman"/>
          <w:sz w:val="18"/>
          <w:szCs w:val="18"/>
          <w:color w:val="auto"/>
        </w:rPr>
        <w:t>vulnerable to the synthetic lethal drug target and are largely unaffected at drug doses where the mutant cancer cells are selectively killed, as noted in Figure 2 below. The recent success of PARP inhibitors in BRCA-mutant breast, ovarian and prostate cancers is the first clinical example of using synthetic lethality to target tumor suppressor gene loss.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Figure 2. In cancer cells, when a tumor suppressor gene is lost, it creates a genetic vulnerability that allows an inhibitor to target a synthetic lethal partner gene causing cell death. This selective killing only occurs in cancer cells with tumor suppressor loss, therefore largely sparing the normal cells. Therefore, these synthetic lethality targets inherently can offer a wide therapeutic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123190</wp:posOffset>
            </wp:positionV>
            <wp:extent cx="4457700" cy="1817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5770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60" w:firstLine="584"/>
        <w:spacing w:after="0" w:line="266" w:lineRule="auto"/>
        <w:rPr>
          <w:sz w:val="20"/>
          <w:szCs w:val="20"/>
          <w:color w:val="auto"/>
        </w:rPr>
      </w:pPr>
      <w:r>
        <w:rPr>
          <w:rFonts w:ascii="Times New Roman" w:cs="Times New Roman" w:eastAsia="Times New Roman" w:hAnsi="Times New Roman"/>
          <w:sz w:val="18"/>
          <w:szCs w:val="18"/>
          <w:color w:val="auto"/>
        </w:rPr>
        <w:t>Moreover, we are using tumor suppressor gene loss as a patient selection marker for clinical trial enrollment to ensure we are enrolling the patients most likely to benefit from each new drug candidate. We believe this approach should enable efficient clinical development and increase the probability of success with the potential for maximum clinical benefit for the patient.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immune evasion platform</w:t>
      </w:r>
    </w:p>
    <w:p>
      <w:pPr>
        <w:spacing w:after="0" w:line="229"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Our synthetic lethal target discovery approach can be adapted to identify druggable targets that do not kill cancer cells directly, but rather attract immune cells to destroy them. Our immune evasion target discovery platform was designed to leverage immuno-oncology therapies with genetically defined patient populations to maximize clinical benefit. We are addressing the unmet medical need of this large group of patients by identifying novel immune evasion genes that (i) are activated by tumor suppressor gene loss and (ii) the effects of which can be reversed through inhibition with a small molecule. In the first step, we perform an in vivo CRISPR-based screen using immune cell-mediated cell killing as the readout. This first step allows us to identify tumor suppressor genes linked to immune evasion. For the second step, we repeat the in vivo CRISPR screen in animals with an intact immune system looking for potential drug targets that reverse the immune evasion effects of the tumor suppressor gene deletion.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PRMT5 inhibitors</w:t>
      </w:r>
    </w:p>
    <w:p>
      <w:pPr>
        <w:spacing w:after="0" w:line="229"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PRMT5 has long been a therapeutic target of interest for cancer given its role in regulating proteins involved in multiple essential cellular functions, including RNA splicing, cell cycling, cell death, and metabolic signaling. PRMT5 is a protein arginine methyltransferase that modifies the activity of these proteins, which are critical for growth and viability of both normal and cancer cells. The first generation of PRMT5 inhibitors did not advance in clinical development because they were either SAM-cooperative or SAM-competitive (and not MTA-cooperative), and as a result, they killed rapidly growing normal cells (bone marrow cells in particular) as effectively as cancer cells and therefore on-target, dose-limiting bone marrow toxicity prevented adequate target inhibition in cancer cells. To address this problem, we designed TNG462 and TNG456 to be MTA-cooperative - and thus selectively active (synthetic lethal) - in cancer cells that have a homozygous deletion of MTAP, which is not deleted in normal cells.</w:t>
      </w:r>
    </w:p>
    <w:p>
      <w:pPr>
        <w:spacing w:after="0" w:line="18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This synthetic lethal interaction occurs when MTAP is co-deleted as a “passenger” with the frequently deleted tumor suppressor gene CDKN2A. The synthetic lethality occurs because MTAP-deleted cells accumulate the PRMT5 inhibitory factor MTA. As a result, PRMT5 is partially inhibited in MTAP-deleted cells, making those cells more sensitive than normal cells to further inhibition of PRMT5 activity. Taking advantage of this unique interaction between PRMT5 inhibition and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 w:name="page13"/>
    <w:bookmarkEnd w:id="12"/>
    <w:p>
      <w:pPr>
        <w:ind w:right="60"/>
        <w:spacing w:after="0" w:line="261" w:lineRule="auto"/>
        <w:rPr>
          <w:sz w:val="20"/>
          <w:szCs w:val="20"/>
          <w:color w:val="auto"/>
        </w:rPr>
      </w:pPr>
      <w:r>
        <w:rPr>
          <w:rFonts w:ascii="Times New Roman" w:cs="Times New Roman" w:eastAsia="Times New Roman" w:hAnsi="Times New Roman"/>
          <w:sz w:val="18"/>
          <w:szCs w:val="18"/>
          <w:color w:val="auto"/>
        </w:rPr>
        <w:t>MTAP deletion requires that the inhibitors have a specific binding mechanism called MTA cooperativity. TNG908, TNG462 and TNG456 bind cooperatively with MTA to inhibit PRMT5 function by blocking access to the PRMT5 active site for both protein substrates and the activating PRMT5 co-factor SAM, specifically in tumor cells which are MTAP deleted. This MTA-cooperative binding mechanism allows selective inhibition of PRMT5 in tumor cells that have lost MTAP while being relatively inert in normal cells without MTAP deletion.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MTAP-deletion frequency in multiple solid tumor types</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 partial deletion of chromosome 9p21, driven by loss of the tumor suppressor gene CDKN2A, is the most common homozygous deletion in human cancer. MTAP is adjacent to CDKN2A and is lost along with it in 80-90% of CDKN2A-deleted tumors, thus MTAP is one of the most commonly deleted genes across all cancer types. Based on The Cancer Genome Atlas and Dana Farber Cancer Institute (O’Kane, G.M et al. Cancer Res., 2024) data, there are at least 15 cancer types where MTAP loss occurs in more than 10% of patients, including approximately 10% of non-squamous NSCLC, 20% of squamous NSCLC, 25% of bladder cancers, 35% of pancreatic cancers, and 45% of GBM. Our development program for TNG462 is focusing primarily on patients with pancreatic and lung cancer, and we estimate that the annual addressable patient population in the U.S. for these indications totals approximately 37,000 patients. Our development program for TNG456 will focus primarily on patients with GBM, which has an annual addressable U.S. patient population of approximately 7,000 patients.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Strong preclinical data demonstrated with our MTA-cooperative PRMT5 inhibitors in MTAP-deleted cancers</w:t>
      </w:r>
    </w:p>
    <w:p>
      <w:pPr>
        <w:spacing w:after="0" w:line="229"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Since PRMT5 is an essential enzyme for all cell types, we designed our PRMT5 inhibitors to be selectively active in cancer cells that have a homozygous deletion of MTAP, which is not deleted in normal cells.</w:t>
      </w:r>
    </w:p>
    <w:p>
      <w:pPr>
        <w:spacing w:after="0" w:line="162"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7"/>
          <w:szCs w:val="17"/>
          <w:color w:val="auto"/>
        </w:rPr>
        <w:t>In normal cells with MTAP, MTA is rapidly degraded by MTAP and therefore does not inhibit PRMT5. When MTAP is deleted in cancer cells, intracellular MTA is markedly elevated compared to normal cells (Figures 3 and 4 below) and partially inhibits PRMT5. Our inhibitors preferentially bind PRMT5 in the presence of MTA and “lock” the enzyme into the inactive state which further inhibits PRMT5 and prevents it from methylating target proteins critical for cell survival. As a result, our inhibitors selectively kill MTAP-deleted tumor cells with elevated MTA levels while sparing normal cells.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3. Schematic of PRMT5 and MTAP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155575</wp:posOffset>
            </wp:positionV>
            <wp:extent cx="4183380" cy="2434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8338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4. TNG462 and TNG456 have an MTA-cooperative mechanism of action that is selective for MTAP-deleted cancer cells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1502410</wp:posOffset>
            </wp:positionH>
            <wp:positionV relativeFrom="page">
              <wp:posOffset>911860</wp:posOffset>
            </wp:positionV>
            <wp:extent cx="4509135" cy="19716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450913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480" w:firstLine="749"/>
        <w:spacing w:after="0" w:line="266" w:lineRule="auto"/>
        <w:rPr>
          <w:sz w:val="20"/>
          <w:szCs w:val="20"/>
          <w:color w:val="auto"/>
        </w:rPr>
      </w:pPr>
      <w:r>
        <w:rPr>
          <w:rFonts w:ascii="Times New Roman" w:cs="Times New Roman" w:eastAsia="Times New Roman" w:hAnsi="Times New Roman"/>
          <w:sz w:val="18"/>
          <w:szCs w:val="18"/>
          <w:color w:val="auto"/>
        </w:rPr>
        <w:t>In preclinical studies, our PRMT5 inhibitors drive dose-dependent, on-target, anti-tumor activity including deep and durable regressions in MTAP-null xenograft models regardless of histology. TNG462 and TNG456 have demonstrated increased potency and MTAP deletion selectivity as compared to TNG908 in these preclinical studies.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Figure 5. TNG908, TNG462 and TNG456 are potent and highly MTAP-selective.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155575</wp:posOffset>
            </wp:positionV>
            <wp:extent cx="2966085" cy="874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6608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794"/>
        <w:spacing w:after="0" w:line="266" w:lineRule="auto"/>
        <w:rPr>
          <w:sz w:val="20"/>
          <w:szCs w:val="20"/>
          <w:color w:val="auto"/>
        </w:rPr>
      </w:pPr>
      <w:r>
        <w:rPr>
          <w:rFonts w:ascii="Times New Roman" w:cs="Times New Roman" w:eastAsia="Times New Roman" w:hAnsi="Times New Roman"/>
          <w:sz w:val="18"/>
          <w:szCs w:val="18"/>
          <w:color w:val="auto"/>
        </w:rPr>
        <w:t>During the course of the TNG908 Phase1/2 clinical trial, we determined that the TNG908 exposure in the brain of GBM patients did not achieve the necessary threshold for efficacy. Due to the predicted brain penetrance and increased potency and selectivity of TNG456, we expect that brain exposure of TNG456 at well-tolerated doses will be above the clinical efficacy threshold required in GBM.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6. TNG908 (actual) and TNG456 (predicted) steady-state clinical exposure in plasma and brain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155575</wp:posOffset>
            </wp:positionV>
            <wp:extent cx="5795010" cy="22199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501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combination data</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We plan to develop TNG462 and TNG456 as monotherapy agents and in combination with other agents. Based on strong preclinical data showing significant in vivo combination benefit, clinical combinations that are currently being executed, planned or are of potential interest for the future with our PRMT5 inhibitors include KRAS, CDK4/6, EGFR and MAT2A inhibitors and potentially other oncogene-targeted therapies.</w:t>
      </w:r>
    </w:p>
    <w:p>
      <w:pPr>
        <w:spacing w:after="0" w:line="68" w:lineRule="exact"/>
        <w:rPr>
          <w:sz w:val="20"/>
          <w:szCs w:val="20"/>
          <w:color w:val="auto"/>
        </w:rPr>
      </w:pPr>
    </w:p>
    <w:p>
      <w:pPr>
        <w:ind w:left="1020" w:right="380" w:hanging="503"/>
        <w:spacing w:after="0" w:line="25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 of MTAP-deleted lung adenocarcinomas and &gt;90% of MTAP-deleted pancreatic adenocarcinomas are also KRAS-mutant. Preclinical in vivo studies further support testing these combinations in clinical trials. We have a clinical collaboration with Revolution Medicines, Inc., or RevMed, to combine TNG462 with daraxonrasib (RMC-6236), a RAS(ON) multi-selective inhibitor, and separately with zoldonrasib (RMC-9805), a RAS(ON) G12D-selective inhibitor, in MTAP-deleted, KRAS-mutant pancreatic and lung cancer.</w:t>
      </w:r>
    </w:p>
    <w:p>
      <w:pPr>
        <w:spacing w:after="0" w:line="75" w:lineRule="exact"/>
        <w:rPr>
          <w:rFonts w:ascii="Times New Roman" w:cs="Times New Roman" w:eastAsia="Times New Roman" w:hAnsi="Times New Roman"/>
          <w:sz w:val="18"/>
          <w:szCs w:val="18"/>
          <w:color w:val="auto"/>
        </w:rPr>
      </w:pPr>
    </w:p>
    <w:p>
      <w:pPr>
        <w:ind w:left="1020" w:right="40" w:hanging="503"/>
        <w:spacing w:after="0" w:line="244"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Essentially all MTAP-deleted tumors also harbor a CDKN2A deletion, which may sensitize cancers to CDK4/6 inhibition. We have demonstrated the efficacy of this combination in preclinical in vivo studies. We have a clinical collaboration agreement with Eli Lilly and Company, or Lilly, that will supply Verzenio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(abemaciclib), a CDK4/6 inhibitor, for use in combination with TNG456 in our planned Phase 1/2 clinical trial focused in MTAP-deleted GBM.</w:t>
      </w:r>
    </w:p>
    <w:p>
      <w:pPr>
        <w:spacing w:after="0" w:line="87" w:lineRule="exact"/>
        <w:rPr>
          <w:rFonts w:ascii="Times New Roman" w:cs="Times New Roman" w:eastAsia="Times New Roman" w:hAnsi="Times New Roman"/>
          <w:sz w:val="18"/>
          <w:szCs w:val="18"/>
          <w:color w:val="auto"/>
        </w:rPr>
      </w:pPr>
    </w:p>
    <w:p>
      <w:pPr>
        <w:ind w:left="1020" w:right="320" w:hanging="503"/>
        <w:spacing w:after="0" w:line="312" w:lineRule="auto"/>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20%-50% of MTAP-deleted lung adenocarcinomas are also EGFR-mutant. Combining TNG462 with an EGFR inhibitor in these patients may have a clinical benefit. Preclinical studies in EGFR-mutant lung models further support testing these combinations in clinical trials.</w:t>
      </w:r>
    </w:p>
    <w:p>
      <w:pPr>
        <w:spacing w:after="0" w:line="31" w:lineRule="exact"/>
        <w:rPr>
          <w:rFonts w:ascii="Times New Roman" w:cs="Times New Roman" w:eastAsia="Times New Roman" w:hAnsi="Times New Roman"/>
          <w:sz w:val="17"/>
          <w:szCs w:val="17"/>
          <w:color w:val="auto"/>
        </w:rPr>
      </w:pPr>
    </w:p>
    <w:p>
      <w:pPr>
        <w:ind w:left="1020" w:right="4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MAT2A inhibitors reduce intracellular levels of the activating PRMT5 co-factor, SAM, and increase the ratio of MTA to SAM in MTAP-deleted cells. Strong synergy has been demonstrated preclinically with sub-therapeutic doses of TNG462 and a MAT2A inhibitor, suggesting that this could be a beneficial clinical combination in MTAP-deleted tumors. However, single agent TNG462 with optimized dosing is as efficacious as the combination with a MAT2A in the same xenograft model.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TNG462 Phase 1/2</w:t>
      </w:r>
    </w:p>
    <w:p>
      <w:pPr>
        <w:spacing w:after="0" w:line="229"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The TNG462 Phase 1/2 clinical trial is evaluating the safety and efficacy of TNG462 in patients with MTAP-deleted solid tumors. The first patient was dosed in July 2023. The dose expansion portion of the clinical trial opened in July 2024 and is focused on patients with MTAP-deleted pancreatic and lung cancer. We are currently enrolling patients at 250 mg QD.</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November 2024, we reported on the 59 patients enrolled in this Phase 1/2 clinical trial across 13 histologies, with 39 evaluable patients at active doses (160-600 mg QD). We reported RECIST partial responses in multiple tumor types, including pancreatic and lung cancer. The median progression-free survival, or PFS, in evaluable patients at active doses in the escalation portion of the trial was 24 weeks. Additionally, we disclosed promising early efficacy data in cholangiocarcinoma, with an overall response rate (ORR) of 43% (3/7 patients with RECIST partial responses). Enrollment is ongoing, data are continuing to mature across tumor types and we plan to provide clinical data in 2025.</w:t>
      </w:r>
    </w:p>
    <w:p>
      <w:pPr>
        <w:spacing w:after="0" w:line="183"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Overall, our initial data showed that TNG462 has a more durable clinical activity and we observed a cleaner safety and tolerability profile than AMG193 (based on publicly available information; comparable PFS data on BMS's PRMT5 inhibitor are not available). These data support our view that TNG462 has the potential to be a best-in-class molecule. Future development plans for TNG462 include both monotherapy and combination trials, including a planned combination clinical trial with RAS(ON) multi- and G12D-selective inhibitors from RevMed, which we expect to begin enrolling in the first half of 2025. The novel combinations with RAS(ON) multi - and G12D-selective inhibitors are supported by strong preclinical data, as well as clinical data demonstrating each molecule has been well-tolerated and active as a single agent. We are also investigating combinations with TNG462 and pembrolizimab and chemotherapy, respectively, to support potential first line registrational studies in pancreatic and lung cancer.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TNG456 Phase 1/2</w:t>
      </w:r>
    </w:p>
    <w:p>
      <w:pPr>
        <w:spacing w:after="0" w:line="229" w:lineRule="exact"/>
        <w:rPr>
          <w:sz w:val="20"/>
          <w:szCs w:val="20"/>
          <w:color w:val="auto"/>
        </w:rPr>
      </w:pPr>
    </w:p>
    <w:p>
      <w:pPr>
        <w:jc w:val="both"/>
        <w:ind w:right="200" w:firstLine="360"/>
        <w:spacing w:after="0" w:line="266" w:lineRule="auto"/>
        <w:rPr>
          <w:sz w:val="20"/>
          <w:szCs w:val="20"/>
          <w:color w:val="auto"/>
        </w:rPr>
      </w:pPr>
      <w:r>
        <w:rPr>
          <w:rFonts w:ascii="Times New Roman" w:cs="Times New Roman" w:eastAsia="Times New Roman" w:hAnsi="Times New Roman"/>
          <w:sz w:val="18"/>
          <w:szCs w:val="18"/>
          <w:color w:val="auto"/>
        </w:rPr>
        <w:t>In January 2025, the FDA cleared the IND for the TNG456 Phase 1/2 clinical trial for TNG456, in which we plan to evaluate patients with TNG456 monotherapy as well as in combination with abemaciclib. We expect enrollment to begin in the first half of 2025 and plan to focus on patients with CNS cancers, including GBM.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TNG908 Phase 1/2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TNG908 Phase 1/2 first-in-human trial was evaluating the oral administration of TNG908 monotherapy in patients with MTAP-deleted tumors. The FDA cleared the IND for the TNG908 Phase 1/2 clinical trial in the first quarter of 2022. TNG908 dose escalation began in August 2022 and enrollment in the dose expansion cohorts began in April 2024.</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November 2024, we announced data from the Phase 1/2 clinical trial of TNG908, demonstrating durable clinical responses, including RECIST partial responses across multiple tumor types (including pancreatic and lung cancer), and a good safety and tolerability profile. Patients in the dose escalation cohort treated with active doses of TNG908 had a median PFS of 16 weeks (excluding GBM). However, we did not observe any responses by RANO criteria in GBM, a development focus of TNG908. As a result, we stopped enrollment of the TNG908 clinical trial and discontinued further development in order to fully resource TNG462 and TNG456 development.</w:t>
      </w:r>
    </w:p>
    <w:p>
      <w:pPr>
        <w:spacing w:after="0" w:line="183" w:lineRule="exact"/>
        <w:rPr>
          <w:sz w:val="20"/>
          <w:szCs w:val="20"/>
          <w:color w:val="auto"/>
        </w:rPr>
      </w:pPr>
    </w:p>
    <w:p>
      <w:pPr>
        <w:ind w:right="60" w:firstLine="839"/>
        <w:spacing w:after="0" w:line="257" w:lineRule="auto"/>
        <w:rPr>
          <w:sz w:val="20"/>
          <w:szCs w:val="20"/>
          <w:color w:val="auto"/>
        </w:rPr>
      </w:pPr>
      <w:r>
        <w:rPr>
          <w:rFonts w:ascii="Times New Roman" w:cs="Times New Roman" w:eastAsia="Times New Roman" w:hAnsi="Times New Roman"/>
          <w:sz w:val="18"/>
          <w:szCs w:val="18"/>
          <w:color w:val="auto"/>
        </w:rPr>
        <w:t>As of January 2025, the TNG908 Phase 1/2 trial had enrolled 110 patients, 77 patients with non-CNS tumors and 33 with GBM. Of the 77 patients with non-CNS tumors, 39 patients were evaluable at active doses. Eight partial responses were observed (four confirmed, three yet to confirm and one failed to confirm). In pancreatic cancer, four of eleven patients had RECIST partial responses (ORR 36%) and three of eleven pancreatic cancer patients had stable disease. In lung cancer, one of nine patients had a RECIST partial response (ORR 11%) and six of the nine had stable disease. Median time on study in dose escalation at active doses was 16 weeks, excluding GBM patients. Of the 33 patients with CNS tumors, 23 patients were evaluable at active doses as of January 2025, with a median time on study of less than 8 weeks. Among GBM patients, there were no RANO partial responses and brain exposure was approximately 30% of plasma exposure. The TNG908 brain exposures in the three patients sampled were below what we believe to be the activity threshold for this molecule. TNG908 was safe and well-tolerated at doses below 900 mg BID.</w:t>
      </w:r>
    </w:p>
    <w:p>
      <w:pPr>
        <w:spacing w:after="0" w:line="184" w:lineRule="exact"/>
        <w:rPr>
          <w:sz w:val="20"/>
          <w:szCs w:val="20"/>
          <w:color w:val="auto"/>
        </w:rPr>
      </w:pPr>
    </w:p>
    <w:p>
      <w:pPr>
        <w:ind w:right="60" w:firstLine="888"/>
        <w:spacing w:after="0" w:line="261" w:lineRule="auto"/>
        <w:rPr>
          <w:sz w:val="20"/>
          <w:szCs w:val="20"/>
          <w:color w:val="auto"/>
        </w:rPr>
      </w:pPr>
      <w:r>
        <w:rPr>
          <w:rFonts w:ascii="Times New Roman" w:cs="Times New Roman" w:eastAsia="Times New Roman" w:hAnsi="Times New Roman"/>
          <w:sz w:val="18"/>
          <w:szCs w:val="18"/>
          <w:color w:val="auto"/>
        </w:rPr>
        <w:t>The Phase 1/2 clinical trial data suggest TNG908 is an active and well-tolerated MTA-cooperative PRMT5 inhibitor in non-CNS solid tumors. However, we believe TNG462 has the potential to be the best-in-class molecule given that it has favorable pharmacokinetics, pharmacodynamics, safety and tolerability compared to TNG908. Based on our preclinical data, we expect that TNG456 will have CNS exposure above the efficacy threshold. For these reasons, we discontinued further development of TNG908 to fully resource the development of TNG462 and TNG456.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CoREST inhibition to reserve immune evasion</w:t>
      </w:r>
    </w:p>
    <w:p>
      <w:pPr>
        <w:spacing w:after="0" w:line="229"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CoREST was discovered using our immune evasion target discovery platform as a drug target with the potential to reverse the immune evasion associated with STK11 mutations. This platform uses high throughput in vivo CRISPR-based target discovery screens to identify druggable targets that do not kill cancer cells directly but rather attract immune cells to destroy them in the context of specific tumor suppressor gene loss.</w:t>
      </w:r>
    </w:p>
    <w:p>
      <w:pPr>
        <w:spacing w:after="0" w:line="176"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STK11 loss-of-function mutations occur in approximately 20% of NSCLC, 15% of cervical, 10% carcinoma of unknown primary, 5% of breast and 3% of pancreatic cancers. STK11 loss-of-function mutations in lung cancer result in the inactivity of treatment with an immune checkpoint inhibitor, such as anti-PD-1. As a result, checkpoint inhibitor therapy is not sufficient to overcome the immune evasive environment of STK11-mutant tumors, leading to very limited clinical response in these patients. Inhibition of the CoREST complex by TNG260 has been shown in preclinical studies to lead to changes in expression of immune-related genes that favor a more active immune environment. For example, TNG260 treatment leads to increased expression of CXCL9, CXCL10, and CXCL11, which are cytokines responsible for recruiting T effector cells, therefore increasing the anti-tumor immune response when combined with anti-PD-1 antibody. Additionally, the combination of TNG260 with an anti-PD-1 antibody in preclinical studies leads to decreased expression of CCL1 and CCL22, which are chemokines responsible for recruiting immune suppressive regulatory T cells to the tumor environment. Together, this leads to an uncoupling of the levels of T effector and regulatory T cells in the tumor, which contributes to a more active immune microenvironment and re-sensitization to anti-PD-1 treatment.</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Figure 7. TNG260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5006340" cy="2272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06340"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Our in vivo CRISPR discovery platform enabled the discovery of STK11 as a tumor suppressor gene that drives immune evasion when not functional in cancer cells. We engineered a syngeneic mouse tumor model in which STK11 loss-of-function drives resistance to immune checkpoint blockade. Applying our in vivo CRISPR screen in this STK11 loss-of-function model, HDAC1 was identified as a target that reversed anti-PD-1 resistance caused by STK11 deletion. Though HDAC1 is a component of three major regulatory complexes, we observed that TNG260 is highly selective and only inhibits the CoREST complex and spares the other two complexes (Sin3 and NuRD).</w:t>
      </w:r>
    </w:p>
    <w:p>
      <w:pPr>
        <w:spacing w:after="0" w:line="183"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preclinical models, TNG260 demonstrated strong genetic and pharmacologic validation showing reprogramming of the tumor microenvironment and strong sensitization to anti-PD-1 therapy in STK11-deficient tumor models. In a syngeneic mouse tumor model where STK11 mutations drive resistance to immune checkpoint blockade, CoREST inhibition by TNG260 in combination with an anti-PD-1 antibody resulted in complete tumor regressions in five out of eight treated mice. Treatment was stopped on Day 48 and the five of eight mice that were completely tumor-free at that time remained tumor-free for 21 days with no further treatment. Furthermore, when tumor cells were re-implanted in these mice on day 69, they were rejected, compared to a treatment-naïve group of animals where tumors grew as expected. This demonstrated the induction of immune memory in the animals with complete responses to TNG260 with anti-PD-1 antibody (Figure 15).</w:t>
      </w:r>
    </w:p>
    <w:p>
      <w:pPr>
        <w:spacing w:after="0" w:line="187"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Figure 8: Pharmacologic proof-of-concept for CoREST inhibition in STK11 mutant MC38 mouse tumors with TNG260 in combination with an anti-PD-1 antibody</w:t>
      </w: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7" w:right="39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1768475</wp:posOffset>
            </wp:positionH>
            <wp:positionV relativeFrom="page">
              <wp:posOffset>706120</wp:posOffset>
            </wp:positionV>
            <wp:extent cx="4020185" cy="2468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402018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TNG260 Phase 1/2</w:t>
      </w:r>
    </w:p>
    <w:p>
      <w:pPr>
        <w:spacing w:after="0" w:line="229"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Our Phase 1/2 first-in-human trial of TNG260 evaluates the oral administration of TNG260 in combination with pembrolizumab (an anti-PD-1 antibody) in patients with STK11-mutant solid tumors focused on lung cancer. As TNG260 is designed to work in combination with anti-PD-1 antibodies in tumors with STK11 loss, enrollment is limited to patients with STK11 mutated tumors.</w:t>
      </w:r>
    </w:p>
    <w:p>
      <w:pPr>
        <w:spacing w:after="0" w:line="176"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the first quarter of 2023, the FDA cleared the TNG260 IND and we announced the first patient in the Phase 1/2 clinical trial was dosed in July 2023. In the dose escalation phase of the TNG260 Phase 1/2 trial, patients received TNG260 as single agent for the first 21 days of therapy, at which time pembrolizumab was added to TNG260. This safety evaluation period was not required as part of the dose escalation portion of the clinical trial. We are enrolling patients in the dose expansion portion of the trial at 80 mg QD. Clinical proof-of-mechanism has been established for TNG260 based on pharmacodynamic data from on-treatment patient biopsies, with favorable safety, tolerability and pharmacokinetic profiles to date. We plan to provide clinical data on the TNG260 clinical trial in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 with Gilead Sciences</w:t>
      </w:r>
    </w:p>
    <w:p>
      <w:pPr>
        <w:spacing w:after="0" w:line="229"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In August 2020, we entered into an amended and restated research collaboration and license agreement, which we refer to as the Gilead Agreement, with Gilead. The Gilead Agreement expanded our 2018 collaboration with Gilead, or the 2018 Gilead Agreement. Pursuant to the Gilead Agreement, we use our proprietary functional genomics-based discovery platform to identify and develop novel immune evasion targets during a seven-year period ending in August 2027, or the Research Term. During the Research Term, Gilead has the option to obtain exclusive, worldwide licenses to develop and commercialize products directed to up to 15 targets validated in the collaboration. Prior to exercising its option for a program, Gilead may “extend” such program, in which case we will further collaborate with Gilead during the Research Term to discover and develop immuno-oncology treatments directed to such target(s), potentially through early clinical development and be eligible to receive research extension payments from Gilead. Gilead will retain its option rights to any such extended program. For up to five programs licensed by Gilead, we have the option to co-develop and co-promote the lead product for such program in the United States, subject to certain exceptions, and eligible to receive milestone payments and royalties on ex-U.S. sales.</w:t>
      </w:r>
    </w:p>
    <w:p>
      <w:pPr>
        <w:spacing w:after="0" w:line="188" w:lineRule="exact"/>
        <w:rPr>
          <w:sz w:val="20"/>
          <w:szCs w:val="20"/>
          <w:color w:val="auto"/>
        </w:rPr>
      </w:pPr>
    </w:p>
    <w:p>
      <w:pPr>
        <w:ind w:right="100" w:firstLine="584"/>
        <w:spacing w:after="0" w:line="255" w:lineRule="auto"/>
        <w:rPr>
          <w:sz w:val="20"/>
          <w:szCs w:val="20"/>
          <w:color w:val="auto"/>
        </w:rPr>
      </w:pPr>
      <w:r>
        <w:rPr>
          <w:rFonts w:ascii="Times New Roman" w:cs="Times New Roman" w:eastAsia="Times New Roman" w:hAnsi="Times New Roman"/>
          <w:sz w:val="18"/>
          <w:szCs w:val="18"/>
          <w:color w:val="auto"/>
        </w:rPr>
        <w:t>Under the terms of the Gilead Agreement, we received an upfront payment of $125.0 million in addition to an upfront payment of $50.0 million received under the 2018 Gilead Agreement. We also received a $20.0 million equity investment in connection with the Gilead Agreement, and as of December 31, 2024, we received $38.2 million in license fees and $24.0 million in research extension fees. We are eligible to receive up to an additional $410.0 million per program in license, research extension, and clinical, regulatory and commercial milestone payments. We are also eligible to receive tiered royalties in the first decile on net sales by Gilead on a country-by-country and product-by-product basis until the later of (i) the expiration of the last valid claim of our patents or, in some instances, certain of Gilead’s patents, in each case covering such product in such country or (ii) ten years after the first commercial sale of such product in such country. For those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ind w:right="120"/>
        <w:spacing w:after="0" w:line="282" w:lineRule="auto"/>
        <w:rPr>
          <w:sz w:val="20"/>
          <w:szCs w:val="20"/>
          <w:color w:val="auto"/>
        </w:rPr>
      </w:pPr>
      <w:r>
        <w:rPr>
          <w:rFonts w:ascii="Times New Roman" w:cs="Times New Roman" w:eastAsia="Times New Roman" w:hAnsi="Times New Roman"/>
          <w:sz w:val="18"/>
          <w:szCs w:val="18"/>
          <w:color w:val="auto"/>
        </w:rPr>
        <w:t>products that we opt to co-develop and co-promote in the United States, we and Gilead will equally split profits and losses from the sales of such products in the United States, as well as development costs for such products attributable to the United States.</w:t>
      </w:r>
    </w:p>
    <w:p>
      <w:pPr>
        <w:spacing w:after="0" w:line="162" w:lineRule="exact"/>
        <w:rPr>
          <w:sz w:val="20"/>
          <w:szCs w:val="20"/>
          <w:color w:val="auto"/>
        </w:rPr>
      </w:pPr>
    </w:p>
    <w:p>
      <w:pPr>
        <w:ind w:right="20" w:firstLine="584"/>
        <w:spacing w:after="0" w:line="256" w:lineRule="auto"/>
        <w:rPr>
          <w:sz w:val="20"/>
          <w:szCs w:val="20"/>
          <w:color w:val="auto"/>
        </w:rPr>
      </w:pPr>
      <w:r>
        <w:rPr>
          <w:rFonts w:ascii="Times New Roman" w:cs="Times New Roman" w:eastAsia="Times New Roman" w:hAnsi="Times New Roman"/>
          <w:sz w:val="18"/>
          <w:szCs w:val="18"/>
          <w:color w:val="auto"/>
        </w:rPr>
        <w:t>Either party may terminate the Gilead Agreement if the other party materially breaches the terms of such agreement, subject to specified notice and cure provisions, or enters into bankruptcy or insolvency proceedings. Additionally, Gilead may terminate the agreement for any or no reason, in its entirety or on a program-by-program basis, upon specified written notice. If we terminate the Gilead Agreement for Gilead’s material breach, or Gilead terminates the Gilead Agreement without cause, then Gilead is obligated to negotiate with us in good faith for a specified period regarding the transfer by Gilead of certain assets and the provision by Gilead of certain assistance to enable us to continue the research, development and commercialization of products under any terminated programs.</w:t>
      </w:r>
    </w:p>
    <w:p>
      <w:pPr>
        <w:spacing w:after="0" w:line="187" w:lineRule="exact"/>
        <w:rPr>
          <w:sz w:val="20"/>
          <w:szCs w:val="20"/>
          <w:color w:val="auto"/>
        </w:rPr>
      </w:pPr>
    </w:p>
    <w:p>
      <w:pPr>
        <w:ind w:right="280" w:firstLine="584"/>
        <w:spacing w:after="0" w:line="282" w:lineRule="auto"/>
        <w:rPr>
          <w:sz w:val="20"/>
          <w:szCs w:val="20"/>
          <w:color w:val="auto"/>
        </w:rPr>
      </w:pPr>
      <w:r>
        <w:rPr>
          <w:rFonts w:ascii="Times New Roman" w:cs="Times New Roman" w:eastAsia="Times New Roman" w:hAnsi="Times New Roman"/>
          <w:sz w:val="18"/>
          <w:szCs w:val="18"/>
          <w:color w:val="auto"/>
        </w:rPr>
        <w:t>To date, Gilead has licensed four of our programs and has research option-extended two programs (of these option-extended programs, one was licensed and one stopped further development) under the Gilead agreements.</w:t>
      </w:r>
    </w:p>
    <w:p>
      <w:pPr>
        <w:spacing w:after="0" w:line="162" w:lineRule="exact"/>
        <w:rPr>
          <w:sz w:val="20"/>
          <w:szCs w:val="20"/>
          <w:color w:val="auto"/>
        </w:rPr>
      </w:pPr>
    </w:p>
    <w:p>
      <w:pPr>
        <w:ind w:right="40" w:firstLine="584"/>
        <w:spacing w:after="0" w:line="261" w:lineRule="auto"/>
        <w:rPr>
          <w:sz w:val="20"/>
          <w:szCs w:val="20"/>
          <w:color w:val="auto"/>
        </w:rPr>
      </w:pPr>
      <w:r>
        <w:rPr>
          <w:rFonts w:ascii="Times New Roman" w:cs="Times New Roman" w:eastAsia="Times New Roman" w:hAnsi="Times New Roman"/>
          <w:sz w:val="18"/>
          <w:szCs w:val="18"/>
          <w:color w:val="auto"/>
        </w:rPr>
        <w:t>Our collaboration with Gilead excludes our lead programs, PRMT5 and CoREST, as well as a growing pipeline of novel targets identified in our non-immune related target discovery screens. We also retain the right to identify and validate targets outside the scope of our collaboration with Gilead (all cell-autonomous targets, exclusive of those in immune evasion contexts), and to develop and commercialize products directed to such targets, on our own or in collaboration with third 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Medivir AB</w:t>
      </w:r>
    </w:p>
    <w:p>
      <w:pPr>
        <w:spacing w:after="0" w:line="229" w:lineRule="exact"/>
        <w:rPr>
          <w:sz w:val="20"/>
          <w:szCs w:val="20"/>
          <w:color w:val="auto"/>
        </w:rPr>
      </w:pPr>
    </w:p>
    <w:p>
      <w:pPr>
        <w:ind w:right="300" w:firstLine="584"/>
        <w:spacing w:after="0" w:line="266" w:lineRule="auto"/>
        <w:rPr>
          <w:sz w:val="20"/>
          <w:szCs w:val="20"/>
          <w:color w:val="auto"/>
        </w:rPr>
      </w:pPr>
      <w:r>
        <w:rPr>
          <w:rFonts w:ascii="Times New Roman" w:cs="Times New Roman" w:eastAsia="Times New Roman" w:hAnsi="Times New Roman"/>
          <w:sz w:val="18"/>
          <w:szCs w:val="18"/>
          <w:color w:val="auto"/>
        </w:rPr>
        <w:t>In March 2020, we entered into a license agreement, or the Medivir Agreement, with Medivir AB, or Medivir, pursuant to which we obtained a worldwide, royalty-bearing, exclusive license under certain current and/or future patents and know-how of Medivir, to research, develop and commercialize products that are covered by such licensed patents or otherwise modulate USP1.</w:t>
      </w:r>
    </w:p>
    <w:p>
      <w:pPr>
        <w:spacing w:after="0" w:line="176" w:lineRule="exact"/>
        <w:rPr>
          <w:sz w:val="20"/>
          <w:szCs w:val="20"/>
          <w:color w:val="auto"/>
        </w:rPr>
      </w:pPr>
    </w:p>
    <w:p>
      <w:pPr>
        <w:ind w:right="180" w:firstLine="584"/>
        <w:spacing w:after="0" w:line="266" w:lineRule="auto"/>
        <w:rPr>
          <w:sz w:val="20"/>
          <w:szCs w:val="20"/>
          <w:color w:val="auto"/>
        </w:rPr>
      </w:pPr>
      <w:r>
        <w:rPr>
          <w:rFonts w:ascii="Times New Roman" w:cs="Times New Roman" w:eastAsia="Times New Roman" w:hAnsi="Times New Roman"/>
          <w:sz w:val="18"/>
          <w:szCs w:val="18"/>
          <w:color w:val="auto"/>
        </w:rPr>
        <w:t>In May 2023, we made the decision to discontinue further development of TNG348, the basis of our USP1 program, due to liver toxicity experienced by patients in the dose escalation portion of the Phase1/2 clinical trial. As a result, we do not expect any on-going material obligations under the Medivir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Collaboration and Supply Agreement with RevMed</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November 2024, the Company and RevMed entered into a Clinical Trial Collaboration and Supply Agreement. The agreement provides that RevMed will supply daraxonrasib (RMC-6236), a RAS(ON) multi-selective inhibitor, and zoldonrasib (RMC-9805), a RAS(ON) G12D-selective inhibitor, at no cost to us for use in trials that will include the combination of TNG462 and each of these RAS(ON) inhibitors. We will be the sponsor of the combination trials and bear associated costs. Each company will retain commercial rights to its respective compounds, and the agreement is mutually non-exclusive.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Collaboration and Supply Agreement with Lilly</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December 2024, we entered into a Clinical Trial Collaboration and Supply Agreement with Lilly. The agreement provides that Lilly will supply abemaciclib for use in a clinical trial that will include the combination of TNG456 and abemaciclib. We will be the sponsor of the combination trial. Each company will retain commercial rights to its respective compounds, and the agreement is mutually non-exclusive.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20" w:firstLine="584"/>
        <w:spacing w:after="0" w:line="255" w:lineRule="auto"/>
        <w:rPr>
          <w:sz w:val="20"/>
          <w:szCs w:val="20"/>
          <w:color w:val="auto"/>
        </w:rPr>
      </w:pPr>
      <w:r>
        <w:rPr>
          <w:rFonts w:ascii="Times New Roman" w:cs="Times New Roman" w:eastAsia="Times New Roman" w:hAnsi="Times New Roman"/>
          <w:sz w:val="18"/>
          <w:szCs w:val="18"/>
          <w:color w:val="auto"/>
        </w:rPr>
        <w:t>Our lead investigational products are small molecule inhibitors that can be readily manufactured without requiring any specialized equipment or processes. We do not own or operate, and currently have no plans to establish, any manufacturing facilities. We rely, and expect to continue to rely, on third-party Contract Development and Manufacturing Organizations, or CDMOs, for the manufacturing, packaging, labeling and distribution of our investigational products for preclinical and clinical testing, as well as for commercial manufacturing if any of our investigational products obtain marketing approval. A team of internal experts oversee activities at our contracted CDMOs with the goal of ensuring our investigational products are being manufactured under current good manufacturing practices, or cGMP. Currently, all manufacturing of the drug substance for our product candidates to be used in our clinical trials is conducted by one manufacturer and manufacturing of the drug</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9" w:name="page20"/>
    <w:bookmarkEnd w:id="19"/>
    <w:p>
      <w:pPr>
        <w:ind w:right="100"/>
        <w:spacing w:after="0" w:line="253" w:lineRule="auto"/>
        <w:rPr>
          <w:sz w:val="20"/>
          <w:szCs w:val="20"/>
          <w:color w:val="auto"/>
        </w:rPr>
      </w:pPr>
      <w:r>
        <w:rPr>
          <w:rFonts w:ascii="Times New Roman" w:cs="Times New Roman" w:eastAsia="Times New Roman" w:hAnsi="Times New Roman"/>
          <w:sz w:val="18"/>
          <w:szCs w:val="18"/>
          <w:color w:val="auto"/>
        </w:rPr>
        <w:t>product to be used in our clinical trials is conducted by two manufacturers. We believe that the contracted CDMOs have the capacity to support our potential registrational clinical studies, in addition to the first-in-human studies of our product candidates. The operations of one of these CDMOs are located outside the U.S. and the other CDMO conducts its operations for us in a single location in the United States. In addition to the risks related to having only two CDMOs (and only one manufacturer of drug substance), we may also encounter challenges related to supply chain, climate issues, pandemic and geopolitical risks. We plan to further expand and diversify our supply chain by identifying and contracting other CDMOs (beyond the two CDMOs that are currently conducting operations for us) with the capacity and expertise to support the drug substance and drug product for our product candidates and other investigational products in our pipeline and to manufacture commercial supply of our drugs (if those therapies obtain regulatory approval). For additional information and details on the risk related to manufacturing, see “Item 1A. Risk Factors —</w:t>
      </w:r>
      <w:r>
        <w:rPr>
          <w:rFonts w:ascii="Times New Roman" w:cs="Times New Roman" w:eastAsia="Times New Roman" w:hAnsi="Times New Roman"/>
          <w:sz w:val="18"/>
          <w:szCs w:val="18"/>
          <w:i w:val="1"/>
          <w:iCs w:val="1"/>
          <w:color w:val="auto"/>
        </w:rPr>
        <w:t>The third parties upon whom we rely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the supply of the active pharmaceutical ingredients and drug product to be used in our product candidates are our sole sources of supply, and the loss of any of these suppliers could significantly harm our business. </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120" w:firstLine="584"/>
        <w:spacing w:after="0" w:line="254"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we believe are commercially important to the development of our business and our product candidates, including seeking, maintaining and defending patent rights, whether developed internally or licensed from third parties. We also rely on trade secrets relating to our proprietary target discovery technology platform and on know-how, continuing technological innovation and in-licensing opportunities to develop, strengthen and maintain our proprietary position in the field of precision oncology that may be important for the development of our business and product candidates. We additionally may rely on regulatory protection afforded through data exclusivity, market exclusivity and patent term extensions, where available. Patent rights and regulatory protections are key factors that determine the period of market exclusivity for products in our industry. It is during the period of market exclusivity that, we believe, our potential future products have their greatest commercial value.</w:t>
      </w:r>
    </w:p>
    <w:p>
      <w:pPr>
        <w:spacing w:after="0" w:line="192"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limit third parties from making, using, selling, offering to sell, or importing our product candidates (and any future products that may be approved for marketing by regulatory authorities) may depend on the extent to which we have rights under valid and enforceable licenses, patents, or trade secrets that cover these activities. In some cases, enforcement of these rights may depend on third-party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and to the extent such patents are commercially useful in protecting our commercial products or methods of manufacturing, such patents may be challenged or invalidated or otherwise become less useful in protecting our commercial products and methods of manufacturing.</w:t>
      </w:r>
    </w:p>
    <w:p>
      <w:pPr>
        <w:spacing w:after="0" w:line="192" w:lineRule="exact"/>
        <w:rPr>
          <w:sz w:val="20"/>
          <w:szCs w:val="20"/>
          <w:color w:val="auto"/>
        </w:rPr>
      </w:pPr>
    </w:p>
    <w:p>
      <w:pPr>
        <w:ind w:right="180" w:firstLine="584"/>
        <w:spacing w:after="0" w:line="256" w:lineRule="auto"/>
        <w:rPr>
          <w:sz w:val="20"/>
          <w:szCs w:val="20"/>
          <w:color w:val="auto"/>
        </w:rPr>
      </w:pPr>
      <w:r>
        <w:rPr>
          <w:rFonts w:ascii="Times New Roman" w:cs="Times New Roman" w:eastAsia="Times New Roman" w:hAnsi="Times New Roman"/>
          <w:sz w:val="18"/>
          <w:szCs w:val="18"/>
          <w:color w:val="auto"/>
        </w:rPr>
        <w:t>Because a significant portion of a pharmaceutical product’s patent protection can elapse during the course of developing and obtaining regulatory approval of the product, certain countries, including the U.S., provide compensatory mechanisms to extend patent terms for pharmaceutical products. Patent expiration dates noted in the following paragraphs refer to statutory expiration dates and do not take into account any potential patent term adjustment or extension that may be available, or any potential disclaimers that may be needed to obtain certain patents that may reduce the term of such patents to correspond to that of earlier-expiring patents. There is no guarantee that any of our product candidates would be eligible for patent term extensions.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PRMT5 inhibitors</w:t>
      </w:r>
    </w:p>
    <w:p>
      <w:pPr>
        <w:spacing w:after="0" w:line="227" w:lineRule="exact"/>
        <w:rPr>
          <w:sz w:val="20"/>
          <w:szCs w:val="20"/>
          <w:color w:val="auto"/>
        </w:rPr>
      </w:pPr>
    </w:p>
    <w:p>
      <w:pPr>
        <w:ind w:right="240" w:firstLine="584"/>
        <w:spacing w:after="0" w:line="282" w:lineRule="auto"/>
        <w:rPr>
          <w:sz w:val="20"/>
          <w:szCs w:val="20"/>
          <w:color w:val="auto"/>
        </w:rPr>
      </w:pPr>
      <w:r>
        <w:rPr>
          <w:rFonts w:ascii="Times New Roman" w:cs="Times New Roman" w:eastAsia="Times New Roman" w:hAnsi="Times New Roman"/>
          <w:sz w:val="18"/>
          <w:szCs w:val="18"/>
          <w:color w:val="auto"/>
        </w:rPr>
        <w:t>We exclusively own ten patent families covering the composition of matter, methods of use, manufacture, crystalline forms and formulations for TNG908, TNG462, TNG456 and other structurally related PRMT5 inhibitors.</w:t>
      </w:r>
    </w:p>
    <w:p>
      <w:pPr>
        <w:spacing w:after="0" w:line="54" w:lineRule="exact"/>
        <w:rPr>
          <w:sz w:val="20"/>
          <w:szCs w:val="20"/>
          <w:color w:val="auto"/>
        </w:rPr>
      </w:pPr>
    </w:p>
    <w:p>
      <w:pPr>
        <w:ind w:left="1020" w:right="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first family, two US patents have been granted, and patent applications are pending in the United States, Argentina, Pakistan, Taiwan, Australia, Brazil, Canada, China, Eurasia, Europe, Hong Kong, Israel, India, Japan, Korea, Mexico, Malaysia, New Zealand, Singapore, Thailand, Ukraine and South Africa. Any patents granted in this family would be expected to expire no earlier than 2041.</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second family, patent applications are pending in the United States, Australia, Brazil, Canada, China, Eurasia, Europe, Israel, India, Japan, Korea, Mexico, Malaysia, New Zealand, Singapore, Thailand, Ukraine and South Africa. Any patents granted in this family would be expected to expire no earlier than 2042.</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0" w:name="page21"/>
    <w:bookmarkEnd w:id="20"/>
    <w:p>
      <w:pPr>
        <w:ind w:left="1020" w:right="2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third family, patent application are pending in the United States, Taiwan, Australia, Brazil, Canada, China, Eurasia, Europe, Israel, India, Japan, Korea, Mexico, Malaysia, New Zealand, Singapore, Thailand, Ukraine and South Africa. Any patents granted in this family would be expected to expire no earlier than 2043.</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Patent Cooperation Treaty and a United States application are pending in the fourth family, and any patents granted in this family would be expected to expire no earlier than 2043.</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Provisional United States applications are pending in each of the fifth, sixth, seventh, eighth, ninth and tenth patent families. Any patents granted in any of these families would be expected to expire no earlier than 2045.</w:t>
      </w:r>
    </w:p>
    <w:p>
      <w:pPr>
        <w:spacing w:after="0" w:line="162" w:lineRule="exact"/>
        <w:rPr>
          <w:sz w:val="20"/>
          <w:szCs w:val="20"/>
          <w:color w:val="auto"/>
        </w:rPr>
      </w:pPr>
    </w:p>
    <w:p>
      <w:pPr>
        <w:ind w:right="120" w:firstLine="584"/>
        <w:spacing w:after="0" w:line="261" w:lineRule="auto"/>
        <w:rPr>
          <w:sz w:val="20"/>
          <w:szCs w:val="20"/>
          <w:color w:val="auto"/>
        </w:rPr>
      </w:pPr>
      <w:r>
        <w:rPr>
          <w:rFonts w:ascii="Times New Roman" w:cs="Times New Roman" w:eastAsia="Times New Roman" w:hAnsi="Times New Roman"/>
          <w:sz w:val="18"/>
          <w:szCs w:val="18"/>
          <w:color w:val="auto"/>
        </w:rPr>
        <w:t>Additionally, we exclusively own five patent families covering other PRMT5 inhibitors and their methods of use with expiration dates ranging from 2039 to 2043. Two US patents have been granted in the first family. A US patent application is pending in the second family. Patent applications are pending in United States, Taiwan, Europe and Japan for the third family. Patent applications are pending in the United States, Taiwan, Europe and Japan for the remaining two families.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CoREST inhibitors</w:t>
      </w:r>
    </w:p>
    <w:p>
      <w:pPr>
        <w:spacing w:after="0" w:line="227"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exclusively own four patent families covering the composition of matter, methods of use, solid forms and methods of manufacturing for our product candidate TNG260 and other structurally related CoREST inhibitors. For the first family, a United States patent is granted and patent applications are pending in the United States, Taiwan, Australia, Brazil, Canada, China, Eurasia, Europe, Hong Kong, Israel, India, Japan, Korea, Mexico, Malaysia, New Zealand, Singapore, Thailand, Ukraine and South Africa. Any patents granted in this family would be expected to expire no earlier than 2042. A Patent Cooperation Treaty application is pending in the second family and any issued patents in this family, if granted, are expected to expire no earlier than 2043. Provisional US applications are pending in the remaining two families.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20" w:firstLine="584"/>
        <w:spacing w:after="0" w:line="254"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clinical trials, manufacture, quality control, import, export, safety, effectiveness, labeling, packaging, storage, distribution, recordkeeping, approval, advertising, promotion, marketing, post-approval monitoring and post-approval reporting of drugs. We, along with our vendors, contract research organizations, or CROs, clinical investigators and contract development and manufacturing organizations, or CDMOs, will be required to navigate the various preclinical, clinical, manufacturing and approval requirements of the governing regulatory authorities of the countries in which we wish to conduct studies or seek approval of our product candidates. The process of obtaining regulatory approvals for drugs and ensuring subsequent compliance with appropriate federal, state, local and foreign statutes and regulations requires the expenditure of substantial time and financial resources.</w:t>
      </w:r>
    </w:p>
    <w:p>
      <w:pPr>
        <w:spacing w:after="0" w:line="192" w:lineRule="exact"/>
        <w:rPr>
          <w:sz w:val="20"/>
          <w:szCs w:val="20"/>
          <w:color w:val="auto"/>
        </w:rPr>
      </w:pPr>
    </w:p>
    <w:p>
      <w:pPr>
        <w:ind w:right="40" w:firstLine="584"/>
        <w:spacing w:after="0" w:line="254" w:lineRule="auto"/>
        <w:rPr>
          <w:sz w:val="20"/>
          <w:szCs w:val="20"/>
          <w:color w:val="auto"/>
        </w:rPr>
      </w:pPr>
      <w:r>
        <w:rPr>
          <w:rFonts w:ascii="Times New Roman" w:cs="Times New Roman" w:eastAsia="Times New Roman" w:hAnsi="Times New Roman"/>
          <w:sz w:val="18"/>
          <w:szCs w:val="18"/>
          <w:color w:val="auto"/>
        </w:rPr>
        <w:t>In the United States, the FDA regulates drug products under the Federal Food, Drug, and Cosmetic Act, or FD&amp;C Act, its implementing regulations, and other federal statutes and regulations. Drugs are also subject to other federal, state and local statutes and regulations. If we fail to comply with applicable FDA or other regulatory requirements at any time with respect to product development, clinical testing, approval or any other regulatory requirements relating to product manufacture, processing, handling, storage, quality control, safety, pharmacovigilance,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total or partial suspensions of manufacturing or distribution, injunctions, fines, civil penalties or criminal prosecution.</w:t>
      </w:r>
    </w:p>
    <w:p>
      <w:pPr>
        <w:spacing w:after="0" w:line="192" w:lineRule="exact"/>
        <w:rPr>
          <w:sz w:val="20"/>
          <w:szCs w:val="20"/>
          <w:color w:val="auto"/>
        </w:rPr>
      </w:pPr>
    </w:p>
    <w:p>
      <w:pPr>
        <w:ind w:right="480" w:firstLine="584"/>
        <w:spacing w:after="0" w:line="266" w:lineRule="auto"/>
        <w:rPr>
          <w:sz w:val="20"/>
          <w:szCs w:val="20"/>
          <w:color w:val="auto"/>
        </w:rPr>
      </w:pPr>
      <w:r>
        <w:rPr>
          <w:rFonts w:ascii="Times New Roman" w:cs="Times New Roman" w:eastAsia="Times New Roman" w:hAnsi="Times New Roman"/>
          <w:sz w:val="18"/>
          <w:szCs w:val="18"/>
          <w:color w:val="auto"/>
        </w:rPr>
        <w:t>Our product candidates must be approved for therapeutic indications by the FDA before they may be marketed in the United States. For drug product candidates regulated under the FD&amp;C Act, the FDA must approve a New Drug Application, or NDA. The process generally involves the following:</w:t>
      </w:r>
    </w:p>
    <w:p>
      <w:pPr>
        <w:spacing w:after="0" w:line="68" w:lineRule="exact"/>
        <w:rPr>
          <w:sz w:val="20"/>
          <w:szCs w:val="20"/>
          <w:color w:val="auto"/>
        </w:rPr>
      </w:pPr>
    </w:p>
    <w:p>
      <w:pPr>
        <w:ind w:left="1020" w:right="1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good laboratory practice, or GLP, requirements;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in compliance with current Good Manufacturing Practices, or cGMP, of the drug substance and drug product to be used in human clinical trials along with required analytical and stability testing;</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 and must be updated when certain changes are made;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1" w:name="page22"/>
    <w:bookmarkEnd w:id="21"/>
    <w:p>
      <w:pPr>
        <w:ind w:left="1020" w:right="3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independent ethics committee at each clinical trial site before a clinical trial may be initiated at that site;</w:t>
      </w:r>
    </w:p>
    <w:p>
      <w:pPr>
        <w:spacing w:after="0" w:line="53" w:lineRule="exact"/>
        <w:rPr>
          <w:rFonts w:ascii="Times New Roman" w:cs="Times New Roman" w:eastAsia="Times New Roman" w:hAnsi="Times New Roman"/>
          <w:sz w:val="18"/>
          <w:szCs w:val="18"/>
          <w:color w:val="auto"/>
        </w:rPr>
      </w:pPr>
    </w:p>
    <w:p>
      <w:pPr>
        <w:jc w:val="both"/>
        <w:ind w:left="1020" w:right="16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of an NDA to the FDA;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file the application for review;</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will be produced to assess compliance with cGMP requirements to confirm the facilities, methods and controls are adequate to assure the drug’s identity, strength, quality and purity;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audit of clinical trial sites that generated the data in support of the NDA;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 application fee, as applicable, for FDA review of the NDA; and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of the NDA, including, where applicable, consideration of the views of any FDA advisory committee, and FDA approval of the NDA prior to any commercial marketing or sale of the drug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for drugs</w:t>
      </w:r>
    </w:p>
    <w:p>
      <w:pPr>
        <w:spacing w:after="0" w:line="229" w:lineRule="exact"/>
        <w:rPr>
          <w:sz w:val="20"/>
          <w:szCs w:val="20"/>
          <w:color w:val="auto"/>
        </w:rPr>
      </w:pPr>
    </w:p>
    <w:p>
      <w:pPr>
        <w:ind w:right="60" w:firstLine="584"/>
        <w:spacing w:after="0" w:line="258" w:lineRule="auto"/>
        <w:rPr>
          <w:sz w:val="20"/>
          <w:szCs w:val="20"/>
          <w:color w:val="auto"/>
        </w:rPr>
      </w:pPr>
      <w:r>
        <w:rPr>
          <w:rFonts w:ascii="Times New Roman" w:cs="Times New Roman" w:eastAsia="Times New Roman" w:hAnsi="Times New Roman"/>
          <w:sz w:val="18"/>
          <w:szCs w:val="18"/>
          <w:color w:val="auto"/>
        </w:rPr>
        <w:t>Before testing any drug in humans, the product candidate must undergo rigorous preclinical testing. Preclinical studies include laboratory evaluations of product chemistry, formulation and stability, as well as in vitro and animal studies to assess safety and in some cases to establish the rationale for therapeutic use. The conduct of preclinical studies is subject to federal and state regulation and requirements, including GLP requirements for certain safety/toxicology studies. The results of the preclinical studies, together with manufacturing information and analytical data, must be submitted to the FDA as part of an IND.</w:t>
      </w:r>
    </w:p>
    <w:p>
      <w:pPr>
        <w:spacing w:after="0" w:line="183" w:lineRule="exact"/>
        <w:rPr>
          <w:sz w:val="20"/>
          <w:szCs w:val="20"/>
          <w:color w:val="auto"/>
        </w:rPr>
      </w:pPr>
    </w:p>
    <w:p>
      <w:pPr>
        <w:ind w:right="40" w:firstLine="584"/>
        <w:spacing w:after="0" w:line="254" w:lineRule="auto"/>
        <w:rPr>
          <w:sz w:val="20"/>
          <w:szCs w:val="20"/>
          <w:color w:val="auto"/>
        </w:rPr>
      </w:pPr>
      <w:r>
        <w:rPr>
          <w:rFonts w:ascii="Times New Roman" w:cs="Times New Roman" w:eastAsia="Times New Roman" w:hAnsi="Times New Roman"/>
          <w:sz w:val="18"/>
          <w:szCs w:val="18"/>
          <w:color w:val="auto"/>
        </w:rPr>
        <w:t>An IND is a request for authorization from the FDA to administer an investigational product to humans and must become effective before clinical trials may begin. An IND includes the general investigational plan and the protocol(s) for clinical studies, the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Additional preclinical testing may and often does continue after the IND is submitted. The IND automatically becomes effective 30 days after receipt by the FDA, unless the FDA raises concerns or questions within the 30-day time period, including concerns that human research subjects will be exposed to unreasonable health risks, and imposes a full or partial clinical hold. A clinical hold can also be imposed once a trial has already begun, thereby halting the trial until any safety concerns or deficiencies articulated by FDA are corrected.</w:t>
      </w:r>
    </w:p>
    <w:p>
      <w:pPr>
        <w:spacing w:after="0" w:line="192"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 xml:space="preserve">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 that all research subjects provide their informed consent for their participation in a clinical trial. Clinical trials are conducted under protocols detailing, among other things, the objectives of the clinical trial, dosing procedures, inclusion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oversee the clinical trial until its completion. The FDA, the IRB, or the sponsor may suspend or discontinue a clinical trial at any time on various grounds, including a finding that the subjects are being exposed to an unacceptable health risk. There also are requirements governing the registration and reporting of ongoing and completed clinical trials to public registries. For example, information about certain clinical trials must be submitted within specific timeframes for publication on </w:t>
      </w:r>
      <w:r>
        <w:rPr>
          <w:rFonts w:ascii="Times New Roman" w:cs="Times New Roman" w:eastAsia="Times New Roman" w:hAnsi="Times New Roman"/>
          <w:sz w:val="18"/>
          <w:szCs w:val="18"/>
          <w:i w:val="1"/>
          <w:iCs w:val="1"/>
          <w:color w:val="auto"/>
        </w:rPr>
        <w:t>www.ClinicalTrials.gov</w:t>
      </w:r>
      <w:r>
        <w:rPr>
          <w:rFonts w:ascii="Times New Roman" w:cs="Times New Roman" w:eastAsia="Times New Roman" w:hAnsi="Times New Roman"/>
          <w:sz w:val="18"/>
          <w:szCs w:val="18"/>
          <w:color w:val="auto"/>
        </w:rPr>
        <w:t>, a clinical trials database maintained by the National Institutes of Health.</w:t>
      </w:r>
    </w:p>
    <w:p>
      <w:pPr>
        <w:spacing w:after="0" w:line="190" w:lineRule="exact"/>
        <w:rPr>
          <w:sz w:val="20"/>
          <w:szCs w:val="20"/>
          <w:color w:val="auto"/>
        </w:rPr>
      </w:pPr>
    </w:p>
    <w:p>
      <w:pPr>
        <w:ind w:firstLine="584"/>
        <w:spacing w:after="0" w:line="266"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the FDA may nevertheless accept the results of the study in support of an NDA if the study was conducted in accordance with GCP</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requirements, and the FDA is able to validate the data through independent analysis and an onsite inspection if deemed necessary.</w:t>
      </w:r>
    </w:p>
    <w:p>
      <w:pPr>
        <w:spacing w:after="0" w:line="225" w:lineRule="exact"/>
        <w:rPr>
          <w:sz w:val="20"/>
          <w:szCs w:val="20"/>
          <w:color w:val="auto"/>
        </w:rPr>
      </w:pPr>
    </w:p>
    <w:p>
      <w:pPr>
        <w:ind w:right="40" w:firstLine="584"/>
        <w:spacing w:after="0" w:line="282" w:lineRule="auto"/>
        <w:rPr>
          <w:sz w:val="20"/>
          <w:szCs w:val="20"/>
          <w:color w:val="auto"/>
        </w:rPr>
      </w:pPr>
      <w:r>
        <w:rPr>
          <w:rFonts w:ascii="Times New Roman" w:cs="Times New Roman" w:eastAsia="Times New Roman" w:hAnsi="Times New Roman"/>
          <w:sz w:val="18"/>
          <w:szCs w:val="18"/>
          <w:color w:val="auto"/>
        </w:rPr>
        <w:t>Clinical trials to evaluate therapeutic indications to support NDAs for marketing approval are typically conducted in three sequential phases, which may overlap or be combined.</w:t>
      </w:r>
    </w:p>
    <w:p>
      <w:pPr>
        <w:spacing w:after="0" w:line="52" w:lineRule="exact"/>
        <w:rPr>
          <w:sz w:val="20"/>
          <w:szCs w:val="20"/>
          <w:color w:val="auto"/>
        </w:rPr>
      </w:pPr>
    </w:p>
    <w:p>
      <w:pPr>
        <w:ind w:left="1020" w:hanging="503"/>
        <w:spacing w:after="0" w:line="267"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 Phase 1 clinical trials involve initial introduction of the investigational product in a limited population of healthy human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volunteers or patients with the target disease or condition. These studies are typically designed to test the safety, dosage tolerance, absorption, metabolism, distribution, and excretion of the investigational product in humans, and, if possible, to gain early evidence of effectiveness.</w:t>
      </w:r>
    </w:p>
    <w:p>
      <w:pPr>
        <w:spacing w:after="0" w:line="65" w:lineRule="exact"/>
        <w:rPr>
          <w:rFonts w:ascii="Times New Roman" w:cs="Times New Roman" w:eastAsia="Times New Roman" w:hAnsi="Times New Roman"/>
          <w:sz w:val="18"/>
          <w:szCs w:val="18"/>
          <w:color w:val="auto"/>
        </w:rPr>
      </w:pPr>
    </w:p>
    <w:p>
      <w:pPr>
        <w:ind w:left="1020" w:right="120" w:hanging="503"/>
        <w:spacing w:after="0" w:line="267"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 Phase 2 clinical trials typically involve administration of the investigational product to a limited patient population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disease or condition to evaluate the drug’s potential efficacy, to determine the optimal dosages and dosing schedule and to identify possible adverse side effects and safety risks.</w:t>
      </w:r>
    </w:p>
    <w:p>
      <w:pPr>
        <w:spacing w:after="0" w:line="65" w:lineRule="exact"/>
        <w:rPr>
          <w:rFonts w:ascii="Times New Roman" w:cs="Times New Roman" w:eastAsia="Times New Roman" w:hAnsi="Times New Roman"/>
          <w:sz w:val="18"/>
          <w:szCs w:val="18"/>
          <w:color w:val="auto"/>
        </w:rPr>
      </w:pPr>
    </w:p>
    <w:p>
      <w:pPr>
        <w:ind w:left="1020" w:right="100" w:hanging="503"/>
        <w:spacing w:after="0" w:line="25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 Phase 3 clinical trials typically involve administration of the investigational product to an expanded patient population to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dosage, to provide statistically significant evidence of clinical efficacy and to further test for safety, generally at multiple geographically dispersed clinical trial sites. These clinical trials are intended to establish the overall risk/benefit profile of the investigational product and to provide an adequate basis for product approval and physician labeling. Generally, two adequate and well-controlled Phase 3 trials are required by the FDA for approval of an NDA.</w:t>
      </w:r>
    </w:p>
    <w:p>
      <w:pPr>
        <w:spacing w:after="0" w:line="185" w:lineRule="exact"/>
        <w:rPr>
          <w:sz w:val="20"/>
          <w:szCs w:val="20"/>
          <w:color w:val="auto"/>
        </w:rPr>
      </w:pPr>
    </w:p>
    <w:p>
      <w:pPr>
        <w:ind w:right="580" w:firstLine="584"/>
        <w:spacing w:after="0" w:line="282" w:lineRule="auto"/>
        <w:rPr>
          <w:sz w:val="20"/>
          <w:szCs w:val="20"/>
          <w:color w:val="auto"/>
        </w:rPr>
      </w:pPr>
      <w:r>
        <w:rPr>
          <w:rFonts w:ascii="Times New Roman" w:cs="Times New Roman" w:eastAsia="Times New Roman" w:hAnsi="Times New Roman"/>
          <w:sz w:val="18"/>
          <w:szCs w:val="18"/>
          <w:color w:val="auto"/>
        </w:rPr>
        <w:t>In 2023, we received FDA clearances of our IND applications for TNG462 and TNG260 to initiate Phase 1/2 clinical trials for each product candidate. In 2025, we received clearance of our IND application for TNG456 to initiate Phase 1/2 clinical trials for this product candidate.</w:t>
      </w:r>
    </w:p>
    <w:p>
      <w:pPr>
        <w:spacing w:after="0" w:line="162" w:lineRule="exact"/>
        <w:rPr>
          <w:sz w:val="20"/>
          <w:szCs w:val="20"/>
          <w:color w:val="auto"/>
        </w:rPr>
      </w:pPr>
    </w:p>
    <w:p>
      <w:pPr>
        <w:ind w:right="60" w:firstLine="584"/>
        <w:spacing w:after="0" w:line="258" w:lineRule="auto"/>
        <w:rPr>
          <w:sz w:val="20"/>
          <w:szCs w:val="20"/>
          <w:color w:val="auto"/>
        </w:rPr>
      </w:pPr>
      <w:r>
        <w:rPr>
          <w:rFonts w:ascii="Times New Roman" w:cs="Times New Roman" w:eastAsia="Times New Roman" w:hAnsi="Times New Roman"/>
          <w:sz w:val="18"/>
          <w:szCs w:val="18"/>
          <w:color w:val="auto"/>
        </w:rPr>
        <w:t>In March 2022, the FDA released final guidance titled “Expansion Cohorts: Use in First-In-Human Clinical Trials to Expedite Development of Oncology Drugs and Biologics,” which outlines how drug developers can utilize an adaptive trial design commonly referred to as a seamless trial design in early stages of oncology drug development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first-in-human clinical trial) to compress the traditional three phases of trials into one continuous trial called an expansion cohort trial. Information to support the design of individual expansion cohorts are included in IND applications and assessed by the FDA. Expansion cohort trials can potentially bring efficiency to drug development and reduce development costs and time.</w:t>
      </w:r>
    </w:p>
    <w:p>
      <w:pPr>
        <w:spacing w:after="0" w:line="183" w:lineRule="exact"/>
        <w:rPr>
          <w:sz w:val="20"/>
          <w:szCs w:val="20"/>
          <w:color w:val="auto"/>
        </w:rPr>
      </w:pPr>
    </w:p>
    <w:p>
      <w:pPr>
        <w:ind w:right="200" w:firstLine="584"/>
        <w:spacing w:after="0" w:line="261"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completion of Phase 4 clinical trials as a condition of NDA approval.</w:t>
      </w:r>
    </w:p>
    <w:p>
      <w:pPr>
        <w:spacing w:after="0" w:line="180" w:lineRule="exact"/>
        <w:rPr>
          <w:sz w:val="20"/>
          <w:szCs w:val="20"/>
          <w:color w:val="auto"/>
        </w:rPr>
      </w:pPr>
    </w:p>
    <w:p>
      <w:pPr>
        <w:ind w:right="20" w:firstLine="584"/>
        <w:spacing w:after="0" w:line="256" w:lineRule="auto"/>
        <w:rPr>
          <w:sz w:val="20"/>
          <w:szCs w:val="20"/>
          <w:color w:val="auto"/>
        </w:rPr>
      </w:pPr>
      <w:r>
        <w:rPr>
          <w:rFonts w:ascii="Times New Roman" w:cs="Times New Roman" w:eastAsia="Times New Roman" w:hAnsi="Times New Roman"/>
          <w:sz w:val="18"/>
          <w:szCs w:val="18"/>
          <w:color w:val="auto"/>
        </w:rPr>
        <w:t>Progress reports detailing the results of clinical trials, among other information related to development under an IND, must be submitted at least annually to the FDA. Written IND safety reports must be submitted to the FDA and investigators within 15 days to report serious and unexpected suspected adverse events, findings from other studies or animal or in vitro testing that suggest a significant risk for human subjects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87" w:lineRule="exact"/>
        <w:rPr>
          <w:sz w:val="20"/>
          <w:szCs w:val="20"/>
          <w:color w:val="auto"/>
        </w:rPr>
      </w:pPr>
    </w:p>
    <w:p>
      <w:pPr>
        <w:ind w:right="200" w:firstLine="584"/>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marketing approval for drugs</w:t>
      </w:r>
    </w:p>
    <w:p>
      <w:pPr>
        <w:spacing w:after="0" w:line="229" w:lineRule="exact"/>
        <w:rPr>
          <w:sz w:val="20"/>
          <w:szCs w:val="20"/>
          <w:color w:val="auto"/>
        </w:rPr>
      </w:pPr>
    </w:p>
    <w:p>
      <w:pPr>
        <w:ind w:right="200" w:firstLine="584"/>
        <w:spacing w:after="0" w:line="261"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clinical trials, together with detailed information relating to the product’s chemistry, manufacturing, and controls and proposed labeling, among other things, are submitted to the FDA as part of an NDA package requesting approval to market the product for one or more indications. An NDA must contain data supporting the drug’s safety and efficacy for the requested indications and must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3" w:name="page24"/>
    <w:bookmarkEnd w:id="23"/>
    <w:p>
      <w:pPr>
        <w:ind w:right="60"/>
        <w:spacing w:after="0" w:line="261" w:lineRule="auto"/>
        <w:rPr>
          <w:sz w:val="20"/>
          <w:szCs w:val="20"/>
          <w:color w:val="auto"/>
        </w:rPr>
      </w:pPr>
      <w:r>
        <w:rPr>
          <w:rFonts w:ascii="Times New Roman" w:cs="Times New Roman" w:eastAsia="Times New Roman" w:hAnsi="Times New Roman"/>
          <w:sz w:val="18"/>
          <w:szCs w:val="18"/>
          <w:color w:val="auto"/>
        </w:rPr>
        <w:t>include both negative and ambiguous results of preclinical studies and clinical trials, as well as positive findings. Data may come from company-sponsored clinical trials intended to test the safety and efficacy of the product candidate or from a number of alternative sources, including studies initiated by investigators. To support marketing approval, the data submitted must be sufficient in quality and quantity to establish the safety and efficacy of the investigational drug to the satisfaction of the FDA. The FDA must approve an NDA before a drug may be marketed in the United States.</w:t>
      </w:r>
    </w:p>
    <w:p>
      <w:pPr>
        <w:spacing w:after="0" w:line="180"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The FDA reviews all submitted NDAs to ensure they are sufficiently complete to permit substantive review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 in-depth substantive review of the NDA. The FDA reviews an NDA to determine, among other things, whether the product is safe and effective for the indications sought and whether the facility in which it is manufactured, processed, packaged or held meets standards, including cGMP requirements, designed to assure and preserve the product’s continued identity, strength, quality and purity. Under the goals and policies agreed to by the FDA under the Prescription Drug User Fee Act, or PDUFA, the FDA targets ten months from the filing date in which to complete its review of a new molecular entity NDA and respond to the applicant, and six months from the filing date of a new molecular entity NDA for priority review. The FDA does not always meet its PDUFA goal dates for standard or priority NDAs, and the review process is often extended by FDA requests for additional information or clarification. Further, under PDUFA, as amended, each NDA must be accompanied by a substantial application fee.</w:t>
      </w:r>
    </w:p>
    <w:p>
      <w:pPr>
        <w:spacing w:after="0" w:line="194" w:lineRule="exact"/>
        <w:rPr>
          <w:sz w:val="20"/>
          <w:szCs w:val="20"/>
          <w:color w:val="auto"/>
        </w:rPr>
      </w:pPr>
    </w:p>
    <w:p>
      <w:pPr>
        <w:ind w:right="60" w:firstLine="584"/>
        <w:spacing w:after="0" w:line="261" w:lineRule="auto"/>
        <w:rPr>
          <w:sz w:val="20"/>
          <w:szCs w:val="20"/>
          <w:color w:val="auto"/>
        </w:rPr>
      </w:pPr>
      <w:r>
        <w:rPr>
          <w:rFonts w:ascii="Times New Roman" w:cs="Times New Roman" w:eastAsia="Times New Roman" w:hAnsi="Times New Roman"/>
          <w:sz w:val="18"/>
          <w:szCs w:val="18"/>
          <w:color w:val="auto"/>
        </w:rPr>
        <w:t>The FDA also may require submission of a Risk Evaluation and Mitigation Strategy, or REMS, if it believes such a strategy is necessary to ensure that the benefits of the drug outweigh its risks. A REMS can include use of risk evaluation and mitigation strategies such as medication guides, physician communication plans, assessment plans, and/or elements to assure safe use, such as restricted distribution methods, patient registries, special monitoring or other risk-minimization tools.</w:t>
      </w:r>
    </w:p>
    <w:p>
      <w:pPr>
        <w:spacing w:after="0" w:line="180" w:lineRule="exact"/>
        <w:rPr>
          <w:sz w:val="20"/>
          <w:szCs w:val="20"/>
          <w:color w:val="auto"/>
        </w:rPr>
      </w:pPr>
    </w:p>
    <w:p>
      <w:pPr>
        <w:jc w:val="both"/>
        <w:ind w:right="80" w:firstLine="584"/>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which reviews, evaluates and provides advice requested by the FDA, including in some cases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ind w:right="20" w:firstLine="584"/>
        <w:spacing w:after="0" w:line="261" w:lineRule="auto"/>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the FDA may inspect one or more clinical trial sites to assure compliance with GCP and the integrity of the clinical data submitted to the FDA.</w:t>
      </w:r>
    </w:p>
    <w:p>
      <w:pPr>
        <w:spacing w:after="0" w:line="180" w:lineRule="exact"/>
        <w:rPr>
          <w:sz w:val="20"/>
          <w:szCs w:val="20"/>
          <w:color w:val="auto"/>
        </w:rPr>
      </w:pPr>
    </w:p>
    <w:p>
      <w:pPr>
        <w:ind w:right="120" w:firstLine="584"/>
        <w:spacing w:after="0" w:line="254" w:lineRule="auto"/>
        <w:rPr>
          <w:sz w:val="20"/>
          <w:szCs w:val="20"/>
          <w:color w:val="auto"/>
        </w:rPr>
      </w:pPr>
      <w:r>
        <w:rPr>
          <w:rFonts w:ascii="Times New Roman" w:cs="Times New Roman" w:eastAsia="Times New Roman" w:hAnsi="Times New Roman"/>
          <w:sz w:val="18"/>
          <w:szCs w:val="18"/>
          <w:color w:val="auto"/>
        </w:rPr>
        <w:t>After evaluating the NDA and all related information, including an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generally states specific conditions that must be met in order to secure final approval of the NDA. The FDA may require additional clinical or preclinical testing or recommend other actions, such as requests for additional information or clarification, that the applicant might take in order to resubmit the NDA for FDA reconsideration. Even with a submission that includes this additional information, the FDA ultimately may decide that the application does not satisfy the regulatory criteria for approval. If and when those criteria have been met to the FDA’s satisfaction, the FDA will typically issue an approval letter. An approval letter authorizes commercial marketing of the product with specific prescribing information for one or more indications.</w:t>
      </w:r>
    </w:p>
    <w:p>
      <w:pPr>
        <w:spacing w:after="0" w:line="192" w:lineRule="exact"/>
        <w:rPr>
          <w:sz w:val="20"/>
          <w:szCs w:val="20"/>
          <w:color w:val="auto"/>
        </w:rPr>
      </w:pPr>
    </w:p>
    <w:p>
      <w:pPr>
        <w:ind w:right="120" w:firstLine="584"/>
        <w:spacing w:after="0" w:line="255" w:lineRule="auto"/>
        <w:rPr>
          <w:sz w:val="20"/>
          <w:szCs w:val="20"/>
          <w:color w:val="auto"/>
        </w:rPr>
      </w:pPr>
      <w:r>
        <w:rPr>
          <w:rFonts w:ascii="Times New Roman" w:cs="Times New Roman" w:eastAsia="Times New Roman" w:hAnsi="Times New Roman"/>
          <w:sz w:val="18"/>
          <w:szCs w:val="18"/>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post-approval studies or surveillance programs. Some types of changes to the approved product, such as adding new indications, certain manufacturing changes, and additional labeling claims, are subject to further testing requirements and FDA review and approval of a supplemental application.</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229" w:lineRule="exact"/>
        <w:rPr>
          <w:sz w:val="20"/>
          <w:szCs w:val="20"/>
          <w:color w:val="auto"/>
        </w:rPr>
      </w:pPr>
    </w:p>
    <w:p>
      <w:pPr>
        <w:ind w:right="20" w:firstLine="584"/>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intended to treat a rare disease or condition, which is a disease or condition with either a patient population of fewer than 200,000 individuals in the United States, or a patient population greater than 200,000 individuals in the United States when there is no reasonable expectation that the cost of developing and making the product available in the United States for the disease or condition will be recovered from sales of the product. Orphan drug designation must be requested before submitting an NDA. After the FDA grants orphan drug designation, the generic identity of the drug and its potential orphan use are disclosed publicly by the FDA. Orphan drug designation does not convey any advantage in or shorten the duration of the regulatory review and approval process, although companies developing orphan-designated products are eligible for certain incentives, including tax credits for qualified clinical testing and waiver of application fees.</w:t>
      </w:r>
    </w:p>
    <w:p>
      <w:pPr>
        <w:spacing w:after="0" w:line="189"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the disease or condition for which it has such designation, the product is entitled to a seven-year period of marketing exclusivity during which the FDA may not approve any other applications to market the same drug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drugs for the indication for which the orphan product has exclusivity or obtain approval for the same drug for a different indication than that for which the orphan product has exclusivity. Orphan drug exclusivity could block the approval of one of our product candidates for seven years if a competitor obtains approval for the same drug for the same indication before we do, unless we are able to demonstrate that our product candidate is clinically superior. If an orphan designated product receives marketing approval for an indication broader than its designation, it may not be entitled to orphan exclusivity. Additionally, certain provisions of the Inflation Reduction Act of 2022, or IRA, may impact the usefulness of an orphan drug designation. (For additional information, see “—</w:t>
      </w:r>
      <w:r>
        <w:rPr>
          <w:rFonts w:ascii="Times New Roman" w:cs="Times New Roman" w:eastAsia="Times New Roman" w:hAnsi="Times New Roman"/>
          <w:sz w:val="18"/>
          <w:szCs w:val="18"/>
          <w:i w:val="1"/>
          <w:iCs w:val="1"/>
          <w:color w:val="auto"/>
        </w:rPr>
        <w:t>Current and future healthcare reform legislation.</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FDA has granted orphan drug designation to TNG462 for the treatment of soft tissue sarcoma and for the treatment of pancreatic cancer.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 for drugs</w:t>
      </w:r>
    </w:p>
    <w:p>
      <w:pPr>
        <w:spacing w:after="0" w:line="229" w:lineRule="exact"/>
        <w:rPr>
          <w:sz w:val="20"/>
          <w:szCs w:val="20"/>
          <w:color w:val="auto"/>
        </w:rPr>
      </w:pPr>
    </w:p>
    <w:p>
      <w:pPr>
        <w:ind w:right="100" w:firstLine="584"/>
        <w:spacing w:after="0" w:line="261" w:lineRule="auto"/>
        <w:rPr>
          <w:sz w:val="20"/>
          <w:szCs w:val="20"/>
          <w:color w:val="auto"/>
        </w:rPr>
      </w:pPr>
      <w:r>
        <w:rPr>
          <w:rFonts w:ascii="Times New Roman" w:cs="Times New Roman" w:eastAsia="Times New Roman" w:hAnsi="Times New Roman"/>
          <w:sz w:val="18"/>
          <w:szCs w:val="18"/>
          <w:color w:val="auto"/>
        </w:rPr>
        <w:t>The FDA has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the purpose of these programs is to get important new drugs to patients more quickly than standard FDA review timelines typically permit.</w:t>
      </w:r>
    </w:p>
    <w:p>
      <w:pPr>
        <w:spacing w:after="0" w:line="180" w:lineRule="exact"/>
        <w:rPr>
          <w:sz w:val="20"/>
          <w:szCs w:val="20"/>
          <w:color w:val="auto"/>
        </w:rPr>
      </w:pPr>
    </w:p>
    <w:p>
      <w:pPr>
        <w:ind w:right="20" w:firstLine="584"/>
        <w:spacing w:after="0" w:line="253" w:lineRule="auto"/>
        <w:rPr>
          <w:sz w:val="20"/>
          <w:szCs w:val="20"/>
          <w:color w:val="auto"/>
        </w:rPr>
      </w:pPr>
      <w:r>
        <w:rPr>
          <w:rFonts w:ascii="Times New Roman" w:cs="Times New Roman" w:eastAsia="Times New Roman" w:hAnsi="Times New Roman"/>
          <w:sz w:val="18"/>
          <w:szCs w:val="18"/>
          <w:color w:val="auto"/>
        </w:rPr>
        <w:t>A product candidate is eligible for Fast Track designation if it is intended to treat a serious or life-threatening disease or condition and demonstrates the potential to address unmet medical needs for such disease or condition. Fast Track designation applies to the combination of the product candidate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Rolling review means that the FDA may review portions of the marketing application before the sponsor submits the complete application. In 2023, the FDA granted Fast Track designation to: (i) TNG462 for previously treated, locally advanced, and unresectable or metastatic MTAP-deleted solid tumors and (ii) TNG260 in combination with an anti-PD-1 antibody for the treatment of patients with previously treated, advanced (metastatic or locally advanced and not amenable to curative intent therapy) NSCLC with STK-11 mutations. In February 2025, the FDA granted Fast Track designation to TNG456 for the following two indications: (A) as a single agent, for the treatment of patients with locally advanced or metastatic solid tumors with MTAP loss and (B) in combination with abemaciclib, for the treatment of patients with locally advanced or metastatic NSCLC with MTAP loss.</w:t>
      </w:r>
    </w:p>
    <w:p>
      <w:pPr>
        <w:spacing w:after="0" w:line="194" w:lineRule="exact"/>
        <w:rPr>
          <w:sz w:val="20"/>
          <w:szCs w:val="20"/>
          <w:color w:val="auto"/>
        </w:rPr>
      </w:pPr>
    </w:p>
    <w:p>
      <w:pPr>
        <w:ind w:right="140" w:firstLine="584"/>
        <w:spacing w:after="0" w:line="258" w:lineRule="auto"/>
        <w:rPr>
          <w:sz w:val="20"/>
          <w:szCs w:val="20"/>
          <w:color w:val="auto"/>
        </w:rPr>
      </w:pPr>
      <w:r>
        <w:rPr>
          <w:rFonts w:ascii="Times New Roman" w:cs="Times New Roman" w:eastAsia="Times New Roman" w:hAnsi="Times New Roman"/>
          <w:sz w:val="18"/>
          <w:szCs w:val="18"/>
          <w:color w:val="auto"/>
        </w:rPr>
        <w:t>In addition, a product candidate may be eligible for Breakthrough Therapy designation if it is intended to treat a serious or life-threatening disease or condition and preliminary clinical evidence indicates that the drug, alone or in combination with one or more other drugs, may demonstrate substantial improvement over existing therapies on one or more clinically significant endpoints, such as substantial treatment effects observed early in clinical development. Breakthrough Therapy designation provides all the features of Fast Track designation as well as more intensive FDA interaction and guidance.</w:t>
      </w:r>
    </w:p>
    <w:p>
      <w:pPr>
        <w:spacing w:after="0" w:line="183" w:lineRule="exact"/>
        <w:rPr>
          <w:sz w:val="20"/>
          <w:szCs w:val="20"/>
          <w:color w:val="auto"/>
        </w:rPr>
      </w:pPr>
    </w:p>
    <w:p>
      <w:pPr>
        <w:ind w:right="20" w:firstLine="584"/>
        <w:spacing w:after="0" w:line="261" w:lineRule="auto"/>
        <w:rPr>
          <w:sz w:val="20"/>
          <w:szCs w:val="20"/>
          <w:color w:val="auto"/>
        </w:rPr>
      </w:pPr>
      <w:r>
        <w:rPr>
          <w:rFonts w:ascii="Times New Roman" w:cs="Times New Roman" w:eastAsia="Times New Roman" w:hAnsi="Times New Roman"/>
          <w:sz w:val="18"/>
          <w:szCs w:val="18"/>
          <w:color w:val="auto"/>
        </w:rPr>
        <w:t>Products with Fast Track or Breakthrough Therapy designation may also be eligible for additional FDA programs intended to expedite the review and approval process, including priority review and accelerated approval. Any product submitted to the FDA for approval that has the potential to provide a significant improvement in safety or effectiveness in the treatment, diagnosis or prevention of a serious disease or condition may be eligible for priority review. Under priority review, the FDA’s PDUFA goal date to take action on an NDA is six months from filing, compared to ten months from filing for a</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ind w:right="40"/>
        <w:spacing w:after="0" w:line="261" w:lineRule="auto"/>
        <w:rPr>
          <w:sz w:val="20"/>
          <w:szCs w:val="20"/>
          <w:color w:val="auto"/>
        </w:rPr>
      </w:pPr>
      <w:r>
        <w:rPr>
          <w:rFonts w:ascii="Times New Roman" w:cs="Times New Roman" w:eastAsia="Times New Roman" w:hAnsi="Times New Roman"/>
          <w:sz w:val="18"/>
          <w:szCs w:val="18"/>
          <w:color w:val="auto"/>
        </w:rPr>
        <w:t>standard review.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80" w:lineRule="exact"/>
        <w:rPr>
          <w:sz w:val="20"/>
          <w:szCs w:val="20"/>
          <w:color w:val="auto"/>
        </w:rPr>
      </w:pPr>
    </w:p>
    <w:p>
      <w:pPr>
        <w:ind w:firstLine="584"/>
        <w:spacing w:after="0" w:line="258" w:lineRule="auto"/>
        <w:rPr>
          <w:sz w:val="20"/>
          <w:szCs w:val="20"/>
          <w:color w:val="auto"/>
        </w:rPr>
      </w:pPr>
      <w:r>
        <w:rPr>
          <w:rFonts w:ascii="Times New Roman" w:cs="Times New Roman" w:eastAsia="Times New Roman" w:hAnsi="Times New Roman"/>
          <w:sz w:val="18"/>
          <w:szCs w:val="18"/>
          <w:color w:val="auto"/>
        </w:rPr>
        <w:t>Accelerated approval is generally contingent on a sponsor’s agreement to conduct, in a diligent manner, adequate and well-controlled post-approval confirmatory studies to verify and describe the product’s clinical benefit and, under the Food and Drug Omnibus Reform Act of 2022, or FDORA, the FDA may require, as appropriate, that such trials be underway prior to approval. Under FDORA, the FDA has increased authority for expedited procedures to withdraw approval of a drug or an indication approved under accelerated approval if, for example, the confirmatory trial fails to verify the predicted clinical benefit of the product.</w:t>
      </w:r>
    </w:p>
    <w:p>
      <w:pPr>
        <w:spacing w:after="0" w:line="183" w:lineRule="exact"/>
        <w:rPr>
          <w:sz w:val="20"/>
          <w:szCs w:val="20"/>
          <w:color w:val="auto"/>
        </w:rPr>
      </w:pPr>
    </w:p>
    <w:p>
      <w:pPr>
        <w:ind w:right="380" w:firstLine="584"/>
        <w:spacing w:after="0" w:line="266"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these FDA programs do not change the scientific or medical standards for approval or the quality of evidence necessary to support approval, though they may expedite the development or review process.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 and pediatric exclusivity</w:t>
      </w:r>
    </w:p>
    <w:p>
      <w:pPr>
        <w:spacing w:after="0" w:line="229" w:lineRule="exact"/>
        <w:rPr>
          <w:sz w:val="20"/>
          <w:szCs w:val="20"/>
          <w:color w:val="auto"/>
        </w:rPr>
      </w:pPr>
    </w:p>
    <w:p>
      <w:pPr>
        <w:ind w:right="20" w:firstLine="584"/>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or PREA, as amended, certain NDAs and NDA supplements must contain data that can be used to assess the safety and efficacy of the product candidate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PREA requires that a sponsor who is planning to submit a marketing application for a product candidate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The FDA and the sponsor must reach an agreement on the PSP. Unless otherwise required by regulation, PREA does not apply to a drug for an indication for which orphan designation has been granted, except that PREA will apply to an original NDA for a new active ingredient that is orphan-designated if the drug is a molecularly targeted cancer product intended for the treatment of an adult cancer and is directed at a molecular target that FDA determines to be substantially relevant to the growth or progression of a pediatric cancer.</w:t>
      </w:r>
    </w:p>
    <w:p>
      <w:pPr>
        <w:spacing w:after="0" w:line="190" w:lineRule="exact"/>
        <w:rPr>
          <w:sz w:val="20"/>
          <w:szCs w:val="20"/>
          <w:color w:val="auto"/>
        </w:rPr>
      </w:pPr>
    </w:p>
    <w:p>
      <w:pPr>
        <w:jc w:val="both"/>
        <w:ind w:right="180" w:firstLine="584"/>
        <w:spacing w:after="0" w:line="266" w:lineRule="auto"/>
        <w:rPr>
          <w:sz w:val="20"/>
          <w:szCs w:val="20"/>
          <w:color w:val="auto"/>
        </w:rPr>
      </w:pPr>
      <w:r>
        <w:rPr>
          <w:rFonts w:ascii="Times New Roman" w:cs="Times New Roman" w:eastAsia="Times New Roman" w:hAnsi="Times New Roman"/>
          <w:sz w:val="18"/>
          <w:szCs w:val="18"/>
          <w:color w:val="auto"/>
        </w:rPr>
        <w:t>A drug may also obtain pediatric exclusivity in the United States. Pediatric exclusivity, if granted, adds six months to existing exclusivity periods and patent terms. This six-month exclusivity may be granted based on the voluntary completion of a pediatric study that adequately responds to an FDA-issued “Written Request” for such a study.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post-approval requirements for drugs</w:t>
      </w:r>
    </w:p>
    <w:p>
      <w:pPr>
        <w:spacing w:after="0" w:line="229" w:lineRule="exact"/>
        <w:rPr>
          <w:sz w:val="20"/>
          <w:szCs w:val="20"/>
          <w:color w:val="auto"/>
        </w:rPr>
      </w:pPr>
    </w:p>
    <w:p>
      <w:pPr>
        <w:ind w:right="60" w:firstLine="584"/>
        <w:spacing w:after="0" w:line="253"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and promotion and advertising requirements. FDA's advertising and promotion requirements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enforce the laws and regulations prohibiting the promotion of off-label uses, not only by company employees but also by agents of the company or those speaking on the company’s behalf, and a company that is found to have improperly promoted off-label uses may be subject to significant liability, including investigation by federal and state authorities. Failure to comply with these requirements can result in, among other things, adverse publicity, warning letters, corrective advertising and potential civil and criminal penalties, including liabilities under the False Claims Act where products are reimbursed under federal health care programs. Promotional materials for approved drugs must be submitted to the FDA in conjunction with their first use or first publication. Further, for certain modifications to the drug, including changes in indications, labeling or manufacturing</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6" w:name="page27"/>
    <w:bookmarkEnd w:id="26"/>
    <w:p>
      <w:pPr>
        <w:ind w:right="60"/>
        <w:spacing w:after="0" w:line="282" w:lineRule="auto"/>
        <w:rPr>
          <w:sz w:val="20"/>
          <w:szCs w:val="20"/>
          <w:color w:val="auto"/>
        </w:rPr>
      </w:pPr>
      <w:r>
        <w:rPr>
          <w:rFonts w:ascii="Times New Roman" w:cs="Times New Roman" w:eastAsia="Times New Roman" w:hAnsi="Times New Roman"/>
          <w:sz w:val="18"/>
          <w:szCs w:val="18"/>
          <w:color w:val="auto"/>
        </w:rPr>
        <w:t>processes or facilities, the applicant may be required to submit and obtain prior FDA approval of an NDA supplement, which may require the development of additional data or preclinical studies and clinical trials.</w:t>
      </w:r>
    </w:p>
    <w:p>
      <w:pPr>
        <w:spacing w:after="0" w:line="162"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NDA. For example, the FDA may require post-market testing, including Phase 4 clinical trials, and surveillance to further assess and monitor the product’s safety and effectiveness after commercialization, as well as the manufacturing process for making the drug to confirm continued compliance with cGMP. Manufacturers and certain subcontractors must register their establishments with the FDA and applicable state agencies and are subject to periodic unannounced inspections for compliance with regulatory requirements. Changes to the manufacturing process are strictly regulated and, depending on the nature of the change, may require prior FDA approval before implementation. In addition, manufacturers and other parties involved in the drug supply chain must comply with product tracking and tracing requirements and notify the FDA of counterfeit, diverted, stolen and intentionally adulterated products or products that are otherwise unfit for distribution. Accordingly, manufacturers must continue to expend time, money and effort in the area of production and quality control to maintain compliance with cGMP and other regulatory requirements.</w:t>
      </w:r>
    </w:p>
    <w:p>
      <w:pPr>
        <w:spacing w:after="0" w:line="188" w:lineRule="exact"/>
        <w:rPr>
          <w:sz w:val="20"/>
          <w:szCs w:val="20"/>
          <w:color w:val="auto"/>
        </w:rPr>
      </w:pPr>
    </w:p>
    <w:p>
      <w:pPr>
        <w:ind w:right="40" w:firstLine="584"/>
        <w:spacing w:after="0" w:line="258" w:lineRule="auto"/>
        <w:rPr>
          <w:sz w:val="20"/>
          <w:szCs w:val="20"/>
          <w:color w:val="auto"/>
        </w:rPr>
      </w:pPr>
      <w:r>
        <w:rPr>
          <w:rFonts w:ascii="Times New Roman" w:cs="Times New Roman" w:eastAsia="Times New Roman" w:hAnsi="Times New Roman"/>
          <w:sz w:val="18"/>
          <w:szCs w:val="18"/>
          <w:color w:val="auto"/>
        </w:rPr>
        <w:t>The FDA may withdraw approval of a product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 suspension or revocation of product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 or mandated modification of promotional materials and labeling and issuance of corrective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companion diagnostics</w:t>
      </w:r>
    </w:p>
    <w:p>
      <w:pPr>
        <w:spacing w:after="0" w:line="229"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Companion diagnostics provide information that is essential for the safe and effective use of a corresponding drug. A companion diagnostic may be used to help identify patients who are most likely to benefit from a particular drug, identify patients likely to be at increased risk for serious side effects as a result of treatment with a particular drug, or monitor response to treatment with a particular drug for the purpose of adjusting treatment to achieve improved safety or effectiveness. Companion diagnostics are regulated as medical devices by the FDA. In the United States, the FD&amp;C Act,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or approval from the FDA prior to commercialization. The two primary types of FDA marketing authorization applicable to a medical device are clearance of a premarket notification, or 510(k), and premarket approval, or PMA. In January 2024, FDA announced its intention to initiate a reclassification process for most in vitro diagnostics, including companion diagnostics. FDA also indicated that it will continue to take a risk-based approach in the initial classification of individual in vitro diagnostics to determine whether a new diagnostic test may be classified into class II through the de novo classification process. In so doing, FDA signaled that it may regulate most future companion diagnostics as class II devices (which is a medical device that poses a medium to high risk to patients and users).</w:t>
      </w:r>
    </w:p>
    <w:p>
      <w:pPr>
        <w:spacing w:after="0" w:line="187" w:lineRule="exact"/>
        <w:rPr>
          <w:sz w:val="20"/>
          <w:szCs w:val="20"/>
          <w:color w:val="auto"/>
        </w:rPr>
      </w:pPr>
    </w:p>
    <w:p>
      <w:pPr>
        <w:ind w:right="300" w:firstLine="584"/>
        <w:spacing w:after="0" w:line="266" w:lineRule="auto"/>
        <w:rPr>
          <w:sz w:val="20"/>
          <w:szCs w:val="20"/>
          <w:color w:val="auto"/>
        </w:rPr>
      </w:pPr>
      <w:r>
        <w:rPr>
          <w:rFonts w:ascii="Times New Roman" w:cs="Times New Roman" w:eastAsia="Times New Roman" w:hAnsi="Times New Roman"/>
          <w:sz w:val="18"/>
          <w:szCs w:val="18"/>
          <w:color w:val="auto"/>
        </w:rPr>
        <w:t>The FDA has issued several guidance documents regarding the co-development of drugs and companion diagnostic tests, including a 2014 final guidance titled “Guidance for Industry: In Vitro Companion Diagnostic Devices”, a 2016 draft guidance titled “Principles for Codevelopment of an In Vitro Companion Diagnostic Device with a Therapeutic Product,” and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7" w:name="page28"/>
    <w:bookmarkEnd w:id="27"/>
    <w:p>
      <w:pPr>
        <w:ind w:right="120"/>
        <w:spacing w:after="0" w:line="258" w:lineRule="auto"/>
        <w:rPr>
          <w:sz w:val="20"/>
          <w:szCs w:val="20"/>
          <w:color w:val="auto"/>
        </w:rPr>
      </w:pPr>
      <w:r>
        <w:rPr>
          <w:rFonts w:ascii="Times New Roman" w:cs="Times New Roman" w:eastAsia="Times New Roman" w:hAnsi="Times New Roman"/>
          <w:sz w:val="18"/>
          <w:szCs w:val="18"/>
          <w:color w:val="auto"/>
        </w:rPr>
        <w:t>a 2020 final guidance titled “Developing and Labeling In Vitro Companion Diagnostic Devices for a Specific Group or Class of Oncology Therapeutic Products". Once cleared or approved, the companion diagnostic device must comply with applicable post-marketing requirements including the FDA’s quality system regulation (QSR), adverse event reporting, recalls and corrections, and product marketing requirements and limitations. Like drug manufacturers, companion diagnostic manufacturers are subject to unannounced FDA inspections at any time during which the FDA will conduct an audit of the product(s) and the company’s facilities for compliance with regulatory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229" w:lineRule="exact"/>
        <w:rPr>
          <w:sz w:val="20"/>
          <w:szCs w:val="20"/>
          <w:color w:val="auto"/>
        </w:rPr>
      </w:pPr>
    </w:p>
    <w:p>
      <w:pPr>
        <w:ind w:right="160" w:firstLine="584"/>
        <w:spacing w:after="0" w:line="261" w:lineRule="auto"/>
        <w:rPr>
          <w:sz w:val="20"/>
          <w:szCs w:val="20"/>
          <w:color w:val="auto"/>
        </w:rPr>
      </w:pPr>
      <w:r>
        <w:rPr>
          <w:rFonts w:ascii="Times New Roman" w:cs="Times New Roman" w:eastAsia="Times New Roman" w:hAnsi="Times New Roman"/>
          <w:sz w:val="18"/>
          <w:szCs w:val="18"/>
          <w:color w:val="auto"/>
        </w:rPr>
        <w:t>Manufacturing, sales, promotion and other activities of product candidates following product approval, where applicable, and commercialization are also subject to regulation by numerous regulatory authorities in the United States in addition to the FDA, which may include the Centers for Medicare</w:t>
      </w:r>
    </w:p>
    <w:p>
      <w:pPr>
        <w:ind w:right="620" w:firstLine="8"/>
        <w:spacing w:after="0" w:line="255" w:lineRule="auto"/>
        <w:tabs>
          <w:tab w:leader="none" w:pos="1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Medicaid Services, or CMS, other divisions of the U.S.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229" w:lineRule="exact"/>
        <w:rPr>
          <w:sz w:val="20"/>
          <w:szCs w:val="20"/>
          <w:color w:val="auto"/>
        </w:rPr>
      </w:pPr>
    </w:p>
    <w:p>
      <w:pPr>
        <w:ind w:right="40" w:firstLine="584"/>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products for which we will seek to obtain marketing approval. Our business operations and any current or future arrangements with third-party payors, healthcare providers and physicians may expose us to certain liabilities and other healthcare laws and regulations that may constrain the business or financial arrangements and relationships through which we develop, market, sell and distribute any drugs for which we obtain marketing approval in the future. In the United States, these laws include, without limitation, state and federal anti-kickback, false claims, physician transparency, and patient data privacy and security laws and regulations, including but not limited to those described below.</w:t>
      </w:r>
    </w:p>
    <w:p>
      <w:pPr>
        <w:spacing w:after="0" w:line="79" w:lineRule="exact"/>
        <w:rPr>
          <w:sz w:val="20"/>
          <w:szCs w:val="20"/>
          <w:color w:val="auto"/>
        </w:rPr>
      </w:pPr>
    </w:p>
    <w:p>
      <w:pPr>
        <w:ind w:left="1020" w:right="80" w:hanging="503"/>
        <w:spacing w:after="0" w:line="253"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paying, receiving or providing any remuneration (including any kickback, bribe,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Violations are subject to civil and criminal fines and penalties for each violation, plus up to three times the remuneration involved, imprisonment, and exclusion from government healthcare programs. The Anti-Kickback Statute has been interpreted to apply to arrangements between pharmaceutical manufacturers, on the one hand, and prescribers, purchasers and formulary managers, on the other. In addition, the government may assert that a claim that includes items or services resulting from a violation of the federal Anti-Kickback Statute constitutes a false or fraudulent claim for purposes of the civil False Claims Act.</w:t>
      </w:r>
    </w:p>
    <w:p>
      <w:pPr>
        <w:spacing w:after="0" w:line="86"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and civil monetary penalties laws, including the federal False Claims Act, or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80"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laws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 Similar to the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8" w:name="page29"/>
    <w:bookmarkEnd w:id="28"/>
    <w:p>
      <w:pPr>
        <w:ind w:left="1020" w:right="40"/>
        <w:spacing w:after="0" w:line="282" w:lineRule="auto"/>
        <w:rPr>
          <w:sz w:val="20"/>
          <w:szCs w:val="20"/>
          <w:color w:val="auto"/>
        </w:rPr>
      </w:pPr>
      <w:r>
        <w:rPr>
          <w:rFonts w:ascii="Times New Roman" w:cs="Times New Roman" w:eastAsia="Times New Roman" w:hAnsi="Times New Roman"/>
          <w:sz w:val="18"/>
          <w:szCs w:val="18"/>
          <w:color w:val="auto"/>
        </w:rPr>
        <w:t>federal Anti-Kickback Statute, a person or entity may be found guilty of violating HIPAA without actual knowledge of the statute or specific intent to violate it.</w:t>
      </w:r>
    </w:p>
    <w:p>
      <w:pPr>
        <w:spacing w:after="0" w:line="54" w:lineRule="exact"/>
        <w:rPr>
          <w:sz w:val="20"/>
          <w:szCs w:val="20"/>
          <w:color w:val="auto"/>
        </w:rPr>
      </w:pPr>
    </w:p>
    <w:p>
      <w:pPr>
        <w:ind w:left="1020" w:right="40" w:hanging="503"/>
        <w:spacing w:after="0" w:line="255"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impose, among other things, specified requirements on covered entities and their respective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80"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53"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enacted as part of the Patient Protection and Affordable Care Act, as amended by the Health Care and Education Reconciliation Act of 2010, or collectively,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(defined to include doctors, dentists, optometrists, podiatrists and chiropractors, as well as certain other non-physician licensed providers such as physician assistants and nurse practitioners) and teaching hospitals, as well as ownership and investment interests held by physicians and their immediate family members.</w:t>
      </w:r>
    </w:p>
    <w:p>
      <w:pPr>
        <w:spacing w:after="0" w:line="79" w:lineRule="exact"/>
        <w:rPr>
          <w:rFonts w:ascii="Times New Roman" w:cs="Times New Roman" w:eastAsia="Times New Roman" w:hAnsi="Times New Roman"/>
          <w:sz w:val="18"/>
          <w:szCs w:val="18"/>
          <w:color w:val="auto"/>
        </w:rPr>
      </w:pPr>
    </w:p>
    <w:p>
      <w:pPr>
        <w:ind w:left="1020" w:right="100" w:hanging="503"/>
        <w:spacing w:after="0" w:line="255"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including, but not limited to, state anti-kickback and false claims laws, may be broader in scope than the provisions described above and may apply regardless of payor. Some state laws require pharmaceutical companies to comply with the pharmaceutical industry’s voluntary compliance guidelines and relevant federal government compliance guidance; require drug manufacturers to report information related to payments and other transfers of value to physicians and other healthcare providers; restrict marketing practices or require disclosure of marketing expenditures and pricing information. State and foreign laws may govern the privacy and security of health information in some circumstances. These data privacy and security laws may differ from each other in significant ways and often are not pre-empted by HIPAA, which may complicate compliance efforts.</w:t>
      </w:r>
    </w:p>
    <w:p>
      <w:pPr>
        <w:spacing w:after="0" w:line="189" w:lineRule="exact"/>
        <w:rPr>
          <w:sz w:val="20"/>
          <w:szCs w:val="20"/>
          <w:color w:val="auto"/>
        </w:rPr>
      </w:pPr>
    </w:p>
    <w:p>
      <w:pPr>
        <w:ind w:right="20" w:firstLine="584"/>
        <w:spacing w:after="0" w:line="254"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Coverage and Reimbursement</w:t>
      </w:r>
    </w:p>
    <w:p>
      <w:pPr>
        <w:spacing w:after="0" w:line="229" w:lineRule="exact"/>
        <w:rPr>
          <w:sz w:val="20"/>
          <w:szCs w:val="20"/>
          <w:color w:val="auto"/>
        </w:rPr>
      </w:pPr>
    </w:p>
    <w:p>
      <w:pPr>
        <w:ind w:right="40" w:firstLine="584"/>
        <w:spacing w:after="0" w:line="253"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the principal decisions about reimbursement for new medicines are typically made by CMS. CMS decides whether and to what extent a new medicine will be covered and reimbursed under Medicare and private payors tend to follow CMS to a substantial degree.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reviewing the cost-effectiveness of medical products and services and imposing controls to manage costs. Third-party payors may limit</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9" w:name="page30"/>
    <w:bookmarkEnd w:id="29"/>
    <w:p>
      <w:pPr>
        <w:ind w:right="680"/>
        <w:spacing w:after="0" w:line="282" w:lineRule="auto"/>
        <w:rPr>
          <w:sz w:val="20"/>
          <w:szCs w:val="20"/>
          <w:color w:val="auto"/>
        </w:rPr>
      </w:pPr>
      <w:r>
        <w:rPr>
          <w:rFonts w:ascii="Times New Roman" w:cs="Times New Roman" w:eastAsia="Times New Roman" w:hAnsi="Times New Roman"/>
          <w:sz w:val="18"/>
          <w:szCs w:val="18"/>
          <w:color w:val="auto"/>
        </w:rPr>
        <w:t>coverage to specific products on an approved list, also known as a formulary, which might not include all of the approved products for a particular indication.</w:t>
      </w:r>
    </w:p>
    <w:p>
      <w:pPr>
        <w:spacing w:after="0" w:line="162" w:lineRule="exact"/>
        <w:rPr>
          <w:sz w:val="20"/>
          <w:szCs w:val="20"/>
          <w:color w:val="auto"/>
        </w:rPr>
      </w:pPr>
    </w:p>
    <w:p>
      <w:pPr>
        <w:ind w:right="180" w:firstLine="584"/>
        <w:spacing w:after="0" w:line="256"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which will require additional expenditure above and beyond the costs required to obtain FDA or other comparable regulatory approvals. Some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(when a product candidate is approved for marketing). Levels of coverage and reimbursement for a product can differ significantly from payor to payor.</w:t>
      </w:r>
    </w:p>
    <w:p>
      <w:pPr>
        <w:spacing w:after="0" w:line="187" w:lineRule="exact"/>
        <w:rPr>
          <w:sz w:val="20"/>
          <w:szCs w:val="20"/>
          <w:color w:val="auto"/>
        </w:rPr>
      </w:pPr>
    </w:p>
    <w:p>
      <w:pPr>
        <w:ind w:right="200" w:firstLine="584"/>
        <w:spacing w:after="0" w:line="277" w:lineRule="auto"/>
        <w:rPr>
          <w:sz w:val="20"/>
          <w:szCs w:val="20"/>
          <w:color w:val="auto"/>
        </w:rPr>
      </w:pPr>
      <w:r>
        <w:rPr>
          <w:rFonts w:ascii="Times New Roman" w:cs="Times New Roman" w:eastAsia="Times New Roman" w:hAnsi="Times New Roman"/>
          <w:sz w:val="17"/>
          <w:szCs w:val="17"/>
          <w:color w:val="auto"/>
        </w:rPr>
        <w:t>The containment of healthcare costs has become a priority of federal, state and foreign governments (and other third-party payers), and the prices of pharmaceutical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w:t>
      </w:r>
    </w:p>
    <w:p>
      <w:pPr>
        <w:spacing w:after="0" w:line="168" w:lineRule="exact"/>
        <w:rPr>
          <w:sz w:val="20"/>
          <w:szCs w:val="20"/>
          <w:color w:val="auto"/>
        </w:rPr>
      </w:pPr>
    </w:p>
    <w:p>
      <w:pPr>
        <w:ind w:firstLine="584"/>
        <w:spacing w:after="0" w:line="252" w:lineRule="auto"/>
        <w:rPr>
          <w:sz w:val="20"/>
          <w:szCs w:val="20"/>
          <w:color w:val="auto"/>
        </w:rPr>
      </w:pPr>
      <w:r>
        <w:rPr>
          <w:rFonts w:ascii="Times New Roman" w:cs="Times New Roman" w:eastAsia="Times New Roman" w:hAnsi="Times New Roman"/>
          <w:sz w:val="18"/>
          <w:szCs w:val="18"/>
          <w:color w:val="auto"/>
        </w:rPr>
        <w:t xml:space="preserve">In the European Union, or EU, pricing and reimbursement schemes vary widely from country to country. Some countries provide that products may be marketed only after a reimbursement price has been agreed upon.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its member states to restrict the range of products for which their national health insurance systems provide reimbursement and to control the prices of medicinal products for human use. EU member states may approve a specific price for a product or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 legislation</w:t>
      </w:r>
    </w:p>
    <w:p>
      <w:pPr>
        <w:spacing w:after="0" w:line="229" w:lineRule="exact"/>
        <w:rPr>
          <w:sz w:val="20"/>
          <w:szCs w:val="20"/>
          <w:color w:val="auto"/>
        </w:rPr>
      </w:pPr>
    </w:p>
    <w:p>
      <w:pPr>
        <w:ind w:right="20" w:firstLine="584"/>
        <w:spacing w:after="0" w:line="258" w:lineRule="auto"/>
        <w:rPr>
          <w:sz w:val="20"/>
          <w:szCs w:val="20"/>
          <w:color w:val="auto"/>
        </w:rPr>
      </w:pPr>
      <w:r>
        <w:rPr>
          <w:rFonts w:ascii="Times New Roman" w:cs="Times New Roman" w:eastAsia="Times New Roman" w:hAnsi="Times New Roman"/>
          <w:sz w:val="18"/>
          <w:szCs w:val="18"/>
          <w:color w:val="auto"/>
        </w:rPr>
        <w:t>In the United States and certain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2010, the United States Congress enacted the ACA, which, among other things, includes changes to the coverage and payment for products under government health care programs. The ACA includes provisions of importance to our potential product candidates that:</w:t>
      </w:r>
    </w:p>
    <w:p>
      <w:pPr>
        <w:spacing w:after="0" w:line="75" w:lineRule="exact"/>
        <w:rPr>
          <w:sz w:val="20"/>
          <w:szCs w:val="20"/>
          <w:color w:val="auto"/>
        </w:rPr>
      </w:pPr>
    </w:p>
    <w:p>
      <w:pPr>
        <w:ind w:left="1020" w:right="1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eligibility criteria for Medicaid, thereby potentially increasing a manufacturer’s Medicaid rebate liability;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manufacturers’ rebate liability under the Medicaid Drug Rebate Program;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types of entities eligible for the 340B drug discount program;</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0" w:name="page31"/>
    <w:bookmarkEnd w:id="30"/>
    <w:p>
      <w:pPr>
        <w:ind w:left="1020" w:right="4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 Patient-Centered Outcomes Research Institute to oversee, identify priorities in, and conduct comparative clinical effectiveness research, along with funding for such research.</w:t>
      </w:r>
    </w:p>
    <w:p>
      <w:pPr>
        <w:spacing w:after="0" w:line="16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Affordable Care Act was enacted. For example, the Budget Control Act of 2011 and subsequent legislation, among other things, created measures for spending reductions by Congress that include aggregate reductions of Medicare payments to providers of 2% per fiscal year, which remain in effect through 2031. The U.S. American Taxpayer Relief Act of 2012 further reduced Medicare payments to several types of providers and increased the statute of limitations period for the government to recover overpayments to providers from three to five years. On March 11, 2021, President Biden signed the American Rescue Plan Act of 2021 into law, which eliminates the statutory Medicaid drug rebate cap, currently set at 100% of a drug’s average manufacturer price,for single source and innovator multiple source drugs, beginning January 1, 2024. Due to the Statutory Pay-As-You-Go Act of 2010, estimated budget deficit increases resulting from the American Rescue Plan Act of 2021, and subsequent legislation, Medicare payments to providers will be further reduced starting in 2025 absent further legislation.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83" w:lineRule="exact"/>
        <w:rPr>
          <w:sz w:val="20"/>
          <w:szCs w:val="20"/>
          <w:color w:val="auto"/>
        </w:rPr>
      </w:pPr>
    </w:p>
    <w:p>
      <w:pPr>
        <w:ind w:right="40" w:firstLine="584"/>
        <w:spacing w:after="0" w:line="254"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President Biden issued multiple executive orders that have sought to reduce prescription drug costs. In February 2023, HHS issued a proposal in response to an October 2022 executive order from then-President Biden that includes a proposed prescription drug pricing model that will test whether targeted Medicare payment adjustments will sufficiently incentivize manufacturers to complete confirmatory trials for drugs approved through FDA’s accelerated approval pathway. A number of these and other proposed measures may require authorization through additional legislation to become effective, but the Trump Administration and Congress have indicated that they will continue to seek new legislative measures to control drug costs.</w:t>
      </w:r>
    </w:p>
    <w:p>
      <w:pPr>
        <w:spacing w:after="0" w:line="188" w:lineRule="exact"/>
        <w:rPr>
          <w:sz w:val="20"/>
          <w:szCs w:val="20"/>
          <w:color w:val="auto"/>
        </w:rPr>
      </w:pPr>
    </w:p>
    <w:p>
      <w:pPr>
        <w:ind w:firstLine="584"/>
        <w:spacing w:after="0" w:line="252" w:lineRule="auto"/>
        <w:rPr>
          <w:sz w:val="20"/>
          <w:szCs w:val="20"/>
          <w:color w:val="auto"/>
        </w:rPr>
      </w:pPr>
      <w:r>
        <w:rPr>
          <w:rFonts w:ascii="Times New Roman" w:cs="Times New Roman" w:eastAsia="Times New Roman" w:hAnsi="Times New Roman"/>
          <w:sz w:val="18"/>
          <w:szCs w:val="18"/>
          <w:color w:val="auto"/>
        </w:rPr>
        <w:t>The Inflation Reduction Act of 2022, or IRA, includes several provisions that may impact our business to varying degrees, including provisions that reduce the out-of-pocket cap for Medicare Part D beneficiaries from $7,050 to $2,000 starting in 2025, thereby effectively eliminating the coverage gap; impose new manufacturer financial liability on certain drugs under Medicare Part D; and allow the U.S. government to negotiate Medicare Part B and Part D price caps for certain high-cost drugs and biologics without generic or biosimilar competition. Specifically, under the IRA, a single-source pharmaceutical product qualifies for selection for participation in the drug price negotiation program if it is (i) a small-molecule drug for which at least seven years have passed since the date of approval from the FDA and there is no generic on the market (as of the date of selection); or (ii) a biologic for which 11 years have passed since the date of FDA licensure and there is no biosimilar on the market (as of the date of selection). Given that any negotiated price does not take effect until approximately two years after selection, small-molecule drug and biologic manufacturers are afforded at least nine years and 13 years, respectively, before they may be obligated to sell their product under Medicare Part B and Part D, as applicable, at CMS-negotiated pricing. The IRA also requires companies to pay rebates to Medicare to the extent that drug pricing increases faster than inflation, and it also further delayed until January 1, 2032 the implementation of the HHS rebate rule that would have limited the fees that pharmacy benefit managers can charge. Further, under the IRA, orphan drugs are exempted from the Medicare drug price negotiation program, but only if they have a single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 Medicare drug price negotiation program. The effects of the IRA on our business and the healthcare industry in general is not yet known.</w:t>
      </w:r>
    </w:p>
    <w:p>
      <w:pPr>
        <w:spacing w:after="0" w:line="196" w:lineRule="exact"/>
        <w:rPr>
          <w:sz w:val="20"/>
          <w:szCs w:val="20"/>
          <w:color w:val="auto"/>
        </w:rPr>
      </w:pPr>
    </w:p>
    <w:p>
      <w:pPr>
        <w:ind w:right="40" w:firstLine="584"/>
        <w:spacing w:after="0" w:line="266" w:lineRule="auto"/>
        <w:rPr>
          <w:sz w:val="20"/>
          <w:szCs w:val="20"/>
          <w:color w:val="auto"/>
        </w:rPr>
      </w:pPr>
      <w:r>
        <w:rPr>
          <w:rFonts w:ascii="Times New Roman" w:cs="Times New Roman" w:eastAsia="Times New Roman" w:hAnsi="Times New Roman"/>
          <w:sz w:val="18"/>
          <w:szCs w:val="18"/>
          <w:color w:val="auto"/>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1" w:name="page32"/>
    <w:bookmarkEnd w:id="31"/>
    <w:p>
      <w:pPr>
        <w:ind w:firstLine="584"/>
        <w:spacing w:after="0" w:line="255"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(if approved for marketing) or put pressure on our drug pricing, which could negatively affect our business, financial condition, results of operations and prospects.</w:t>
      </w:r>
    </w:p>
    <w:p>
      <w:pPr>
        <w:spacing w:after="0" w:line="189" w:lineRule="exact"/>
        <w:rPr>
          <w:sz w:val="20"/>
          <w:szCs w:val="20"/>
          <w:color w:val="auto"/>
        </w:rPr>
      </w:pPr>
    </w:p>
    <w:p>
      <w:pPr>
        <w:ind w:right="40" w:firstLine="584"/>
        <w:spacing w:after="0" w:line="261" w:lineRule="auto"/>
        <w:rPr>
          <w:sz w:val="20"/>
          <w:szCs w:val="20"/>
          <w:color w:val="auto"/>
        </w:rPr>
      </w:pPr>
      <w:r>
        <w:rPr>
          <w:rFonts w:ascii="Times New Roman" w:cs="Times New Roman" w:eastAsia="Times New Roman" w:hAnsi="Times New Roman"/>
          <w:sz w:val="18"/>
          <w:szCs w:val="18"/>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United States environmental, health and safety laws and regulations</w:t>
      </w:r>
    </w:p>
    <w:p>
      <w:pPr>
        <w:spacing w:after="0" w:line="229" w:lineRule="exact"/>
        <w:rPr>
          <w:sz w:val="20"/>
          <w:szCs w:val="20"/>
          <w:color w:val="auto"/>
        </w:rPr>
      </w:pPr>
    </w:p>
    <w:p>
      <w:pPr>
        <w:ind w:right="100" w:firstLine="584"/>
        <w:spacing w:after="0" w:line="255" w:lineRule="auto"/>
        <w:rPr>
          <w:sz w:val="20"/>
          <w:szCs w:val="20"/>
          <w:color w:val="auto"/>
        </w:rPr>
      </w:pPr>
      <w:r>
        <w:rPr>
          <w:rFonts w:ascii="Times New Roman" w:cs="Times New Roman" w:eastAsia="Times New Roman" w:hAnsi="Times New Roman"/>
          <w:sz w:val="18"/>
          <w:szCs w:val="18"/>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ind w:right="60" w:firstLine="584"/>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that we may incur due to injuries to our employees, but this insurance may not provide adequate coverage against potential liabilities. We do not maintain insurance for environmental liability or toxic tort claims that may be asserted against us.</w:t>
      </w:r>
    </w:p>
    <w:p>
      <w:pPr>
        <w:spacing w:after="0" w:line="176" w:lineRule="exact"/>
        <w:rPr>
          <w:sz w:val="20"/>
          <w:szCs w:val="20"/>
          <w:color w:val="auto"/>
        </w:rPr>
      </w:pPr>
    </w:p>
    <w:p>
      <w:pPr>
        <w:ind w:right="20" w:firstLine="584"/>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of drugs outside of the United States</w:t>
      </w:r>
    </w:p>
    <w:p>
      <w:pPr>
        <w:spacing w:after="0" w:line="229" w:lineRule="exact"/>
        <w:rPr>
          <w:sz w:val="20"/>
          <w:szCs w:val="20"/>
          <w:color w:val="auto"/>
        </w:rPr>
      </w:pPr>
    </w:p>
    <w:p>
      <w:pPr>
        <w:ind w:right="240" w:firstLine="584"/>
        <w:spacing w:after="0" w:line="258" w:lineRule="auto"/>
        <w:rPr>
          <w:sz w:val="20"/>
          <w:szCs w:val="20"/>
          <w:color w:val="auto"/>
        </w:rPr>
      </w:pPr>
      <w:r>
        <w:rPr>
          <w:rFonts w:ascii="Times New Roman" w:cs="Times New Roman" w:eastAsia="Times New Roman" w:hAnsi="Times New Roman"/>
          <w:sz w:val="18"/>
          <w:szCs w:val="18"/>
          <w:color w:val="auto"/>
        </w:rPr>
        <w:t>To market any product outside of the United States, we would need to comply with numerous and varying regulatory requirements of other countries regarding safety and efficacy and governing, among other things, clinical trials, marketing authorization, manufacturing, commercial sales, promotion and distribution of our potential future products. For instance, in the European Economic Area, or the EEA (comprised of the 27 EU Member States plus Iceland, Liechtenstein and Norway), medicinal products must be authorized for marketing by using either the centralized authorization procedure or national authorization procedures.</w:t>
      </w:r>
    </w:p>
    <w:p>
      <w:pPr>
        <w:spacing w:after="0" w:line="73" w:lineRule="exact"/>
        <w:rPr>
          <w:sz w:val="20"/>
          <w:szCs w:val="20"/>
          <w:color w:val="auto"/>
        </w:rPr>
      </w:pPr>
    </w:p>
    <w:p>
      <w:pPr>
        <w:ind w:left="1140" w:hanging="383"/>
        <w:spacing w:after="0" w:line="253"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Centralized procedure </w:t>
      </w:r>
      <w:r>
        <w:rPr>
          <w:rFonts w:ascii="Times New Roman" w:cs="Times New Roman" w:eastAsia="Times New Roman" w:hAnsi="Times New Roman"/>
          <w:sz w:val="18"/>
          <w:szCs w:val="18"/>
          <w:color w:val="auto"/>
        </w:rPr>
        <w:t>— The centralized procedure provides for the grant of a single marketing authorization by the European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that is valid throughout the EEA. Pursuant to Regulation (EC) No. 726/2004, the centralized procedure is compulsory for specific products, including for medicines produced by certain biotechnological processes, products designated as orphan medicinal products, advanced therapy products (gene therapy, somatic cell therapy and tissue engineered products) and products with a new active substance indicated for the treatment of certain diseases, which includes products for the treatment of cancer. For medicines that do not fall within one of the mandatory categories, an applicant still has the option of submitting an application for a centralized marketing authorization to the European Medicines Agency, or EMA, as long as the medicine concerned contains a new active substance not yet authorized in the EU, is a significant therapeutic, scientific or technical innovation, or if its authorization would be in the interest of public health in the EU. If pursuing marketing authorization of a product candidate for a therapeutic indication under the centralized procedure, the EMA’s Committee for Medicinal Products for Human Use, or CHMP, is responsible for conducting an initial assessment of whether a product meets the required quality, safety and efficacy requirements, and whether a product has a positive benefit/risk ratio. Under the centralized procedure the maximum timeframe for the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2" w:name="page33"/>
    <w:bookmarkEnd w:id="32"/>
    <w:p>
      <w:pPr>
        <w:ind w:left="1140" w:right="140"/>
        <w:spacing w:after="0" w:line="254" w:lineRule="auto"/>
        <w:rPr>
          <w:sz w:val="20"/>
          <w:szCs w:val="20"/>
          <w:color w:val="auto"/>
        </w:rPr>
      </w:pPr>
      <w:r>
        <w:rPr>
          <w:rFonts w:ascii="Times New Roman" w:cs="Times New Roman" w:eastAsia="Times New Roman" w:hAnsi="Times New Roman"/>
          <w:sz w:val="18"/>
          <w:szCs w:val="18"/>
          <w:color w:val="auto"/>
        </w:rPr>
        <w:t>evaluation of a marketing authorization application, or MAA, by the EMA is 210 days, excluding clock stops, when additional written or oral information is to be provided by the applicant in response to questions asked by the CHMP. Clock stops may extend the timeframe of evaluation of a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spacing w:after="0" w:line="92" w:lineRule="exact"/>
        <w:rPr>
          <w:sz w:val="20"/>
          <w:szCs w:val="20"/>
          <w:color w:val="auto"/>
        </w:rPr>
      </w:pPr>
    </w:p>
    <w:p>
      <w:pPr>
        <w:ind w:left="1140" w:right="240" w:hanging="383"/>
        <w:spacing w:after="0" w:line="284"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National authorization procedures </w:t>
      </w:r>
      <w:r>
        <w:rPr>
          <w:rFonts w:ascii="Times New Roman" w:cs="Times New Roman" w:eastAsia="Times New Roman" w:hAnsi="Times New Roman"/>
          <w:sz w:val="18"/>
          <w:szCs w:val="18"/>
          <w:color w:val="auto"/>
        </w:rPr>
        <w:t>— There are also two other possible routes to authorize products for therapeutic indications in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countries, which are available for products that fall outside the scope of the centralized procedure:</w:t>
      </w:r>
    </w:p>
    <w:p>
      <w:pPr>
        <w:spacing w:after="0" w:line="52" w:lineRule="exact"/>
        <w:rPr>
          <w:sz w:val="20"/>
          <w:szCs w:val="20"/>
          <w:color w:val="auto"/>
        </w:rPr>
      </w:pPr>
    </w:p>
    <w:p>
      <w:pPr>
        <w:ind w:left="1540" w:right="540" w:hanging="514"/>
        <w:spacing w:after="0" w:line="266" w:lineRule="auto"/>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the decentralized procedure, an applicant may apply for simultaneous authorization in more than one EEA country for a medicinal product that has not yet been authorized in any EEA country and that does not fall within the mandatory scope of the centralized procedure.</w:t>
      </w:r>
    </w:p>
    <w:p>
      <w:pPr>
        <w:spacing w:after="0" w:line="67" w:lineRule="exact"/>
        <w:rPr>
          <w:rFonts w:ascii="Times New Roman" w:cs="Times New Roman" w:eastAsia="Times New Roman" w:hAnsi="Times New Roman"/>
          <w:sz w:val="18"/>
          <w:szCs w:val="18"/>
          <w:color w:val="auto"/>
        </w:rPr>
      </w:pPr>
    </w:p>
    <w:p>
      <w:pPr>
        <w:ind w:left="1540" w:hanging="514"/>
        <w:spacing w:after="0" w:line="266" w:lineRule="auto"/>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the mutual recognition procedure, a medicine is first authorized in one EEA country, in accordance with the national procedures of that country. Following this, additional marketing authorizations can be sought from other EEA countries in a procedure whereby the countries concerned recognize the validity of the original, national marketing authorization.</w:t>
      </w:r>
    </w:p>
    <w:p>
      <w:pPr>
        <w:spacing w:after="0" w:line="176" w:lineRule="exact"/>
        <w:rPr>
          <w:sz w:val="20"/>
          <w:szCs w:val="20"/>
          <w:color w:val="auto"/>
        </w:rPr>
      </w:pPr>
    </w:p>
    <w:p>
      <w:pPr>
        <w:ind w:right="20" w:firstLine="584"/>
        <w:spacing w:after="0" w:line="282" w:lineRule="auto"/>
        <w:rPr>
          <w:sz w:val="20"/>
          <w:szCs w:val="20"/>
          <w:color w:val="auto"/>
        </w:rPr>
      </w:pPr>
      <w:r>
        <w:rPr>
          <w:rFonts w:ascii="Times New Roman" w:cs="Times New Roman" w:eastAsia="Times New Roman" w:hAnsi="Times New Roman"/>
          <w:sz w:val="18"/>
          <w:szCs w:val="18"/>
          <w:color w:val="auto"/>
        </w:rPr>
        <w:t>In both cases, as with the centralized procedure, the competent authorities of the EEA countries assess the risk-benefit balance of the product on the basis of scientific criteria concerning its quality, safety and efficacy before granting the marketing authorization.</w:t>
      </w:r>
    </w:p>
    <w:p>
      <w:pPr>
        <w:spacing w:after="0" w:line="162" w:lineRule="exact"/>
        <w:rPr>
          <w:sz w:val="20"/>
          <w:szCs w:val="20"/>
          <w:color w:val="auto"/>
        </w:rPr>
      </w:pPr>
    </w:p>
    <w:p>
      <w:pPr>
        <w:ind w:firstLine="584"/>
        <w:spacing w:after="0" w:line="252" w:lineRule="auto"/>
        <w:rPr>
          <w:sz w:val="20"/>
          <w:szCs w:val="20"/>
          <w:color w:val="auto"/>
        </w:rPr>
      </w:pPr>
      <w:r>
        <w:rPr>
          <w:rFonts w:ascii="Times New Roman" w:cs="Times New Roman" w:eastAsia="Times New Roman" w:hAnsi="Times New Roman"/>
          <w:sz w:val="18"/>
          <w:szCs w:val="18"/>
          <w:color w:val="auto"/>
        </w:rPr>
        <w:t>Now that the United Kingdom, or UK, has left the EU, the UK is no longer covered by the EU procedures for the grant of marketing authorizations under the centralized EU procedure and a separate marketing authorization is therefore required to market drugs in the UK. However, although a separate marketing authorization is required to market a product in the UK, on January 1, 2024, the Medicines and Healthcare Products Regulatory Agency, or MHRA, put in place a new international recognition framework which means that the MHRA may have regard to decisions on the approval of marketing authorizations made by the EMA and certain other regulators when determining an application for a new UK marketing authorization. As a result of the Northern Ireland protocol, following Brexit, the EMA remained responsible for approving novel medicines for supply in Northern Ireland under the EU centralized procedure, and a separate authorization was required to supply the same medicine in Great Britain (England, Wales and Scotland). On February 27, 2023, the United Kingdom government and the European Commission announced a political agreement in principle to replace the Northern Ireland Protocol with a new set of arrangements, known as the “Windsor Framework”. The Windsor Framework was approved by the EU-UK Joint Committee on March 24, 2023, and the medicines aspects of the Windsor Framework have applied since January 1, 2025. This new framework fundamentally changes the previous system under the Northern Ireland Protocol, including with respect to the regulation of medicinal products in the United Kingdom. In particular, the MHRA is now responsible for approving all medicinal products destined for the United Kingdom market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Great Britain and Northern Ireland), and the EMA no longer has any role in approving medicinal products destined for Northern Ireland under the EU centralized procedure. A single United Kingdom-wide marketing authorization will be granted by the MHRA for all novel medicinal products to be sold in the United Kingdom, enabling products to be sold in a single pack and under a single authorization throughout the United Kingdom. In addition, the new arrangements require all medicines placed on the UK market to be labelled “UK only”, indicating they are not for sale in the EU.</w:t>
      </w:r>
    </w:p>
    <w:p>
      <w:pPr>
        <w:spacing w:after="0" w:line="193" w:lineRule="exact"/>
        <w:rPr>
          <w:sz w:val="20"/>
          <w:szCs w:val="20"/>
          <w:color w:val="auto"/>
        </w:rPr>
      </w:pPr>
    </w:p>
    <w:p>
      <w:pPr>
        <w:ind w:right="60" w:firstLine="584"/>
        <w:spacing w:after="0" w:line="272" w:lineRule="auto"/>
        <w:rPr>
          <w:sz w:val="20"/>
          <w:szCs w:val="20"/>
          <w:color w:val="auto"/>
        </w:rPr>
      </w:pPr>
      <w:r>
        <w:rPr>
          <w:rFonts w:ascii="Times New Roman" w:cs="Times New Roman" w:eastAsia="Times New Roman" w:hAnsi="Times New Roman"/>
          <w:sz w:val="17"/>
          <w:szCs w:val="17"/>
          <w:color w:val="auto"/>
        </w:rPr>
        <w:t>In the EU, new products that are authorized for marketing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reference products) qualify for eight years of data exclusivity and an additional two years of market exclusivity upon marketing authorization. The data exclusivity period prevents generic or biosimilar applicants from referencing the preclinical and clinical trial data contained in the dossier of the innovator product when applying for a generic or biosimilar marketing authorization in the EU during a period of eight years from the date on which the innovator product was first authorized in the EU. The additional two-year period of market exclusivity period prevents a successful generic or biosimilar applicant from commercializing its product in the EU until ten years have elapsed from the initial authorization of the reference product in the EU. The overall ten-year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ind w:right="160"/>
        <w:spacing w:after="0" w:line="266" w:lineRule="auto"/>
        <w:rPr>
          <w:sz w:val="20"/>
          <w:szCs w:val="20"/>
          <w:color w:val="auto"/>
        </w:rPr>
      </w:pPr>
      <w:r>
        <w:rPr>
          <w:rFonts w:ascii="Times New Roman" w:cs="Times New Roman" w:eastAsia="Times New Roman" w:hAnsi="Times New Roman"/>
          <w:sz w:val="18"/>
          <w:szCs w:val="18"/>
          <w:color w:val="auto"/>
        </w:rPr>
        <w:t>considered to be a new chemical entity so that the innovator gains the prescribed period of data exclusivity, another company may market another version of the product if such company obtained marketing authorization based on a MAA with a complete independent data package of pharmaceutical tests, preclinical tests and clinical trials.</w:t>
      </w:r>
    </w:p>
    <w:p>
      <w:pPr>
        <w:spacing w:after="0" w:line="176"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United States. In the EU, under Article 3 of Regulation (EC) 141/2000, a medicinal product may be designated as orphan if it meets the following criteria: (i) it is intended for the diagnosis, prevention or treatment of a life-threatening or chronically debilitating condition; and (ii) either (a) such condition affects no more than five in 10,000 persons in the EU when the application is made, or (b) it is unlikely that the product, without the benefits derived from orphan status, would generate sufficient return in the EU to justify the investment needed for its development; and (iii) there exists no satisfactory method of diagnosis, prevention or treatment of such condition, or if such a method exists, the product will be of significant benefit to those affected by the condition. Orphan medicinal products are eligible for financial incentives such as reduction of fees or fee waivers and are, upon grant of a marketing authorization, entitled to ten years of market exclusivity for the approved therapeutic indication. During this ten-year orphan market exclusivity period, no marketing authorization application shall be accepted, and no marketing authorization shall be granted for a similar medicinal product for the same indication, unless certain conditions are met. An orphan product can also obtain an additional two years of market exclusivity in the EU for pediatric studies. Orphan drug designation does not convey any advantage in, or shorten the duration of, the regulatory review and approval process.</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Similar to the United States, the various phases of non-clinical and clinical research in the EU are subject to significant regulatory controls.</w:t>
      </w:r>
    </w:p>
    <w:p>
      <w:pPr>
        <w:spacing w:after="0" w:line="225" w:lineRule="exact"/>
        <w:rPr>
          <w:sz w:val="20"/>
          <w:szCs w:val="20"/>
          <w:color w:val="auto"/>
        </w:rPr>
      </w:pPr>
    </w:p>
    <w:p>
      <w:pPr>
        <w:ind w:right="40" w:firstLine="584"/>
        <w:spacing w:after="0" w:line="253" w:lineRule="auto"/>
        <w:rPr>
          <w:sz w:val="20"/>
          <w:szCs w:val="20"/>
          <w:color w:val="auto"/>
        </w:rPr>
      </w:pPr>
      <w:r>
        <w:rPr>
          <w:rFonts w:ascii="Times New Roman" w:cs="Times New Roman" w:eastAsia="Times New Roman" w:hAnsi="Times New Roman"/>
          <w:sz w:val="18"/>
          <w:szCs w:val="18"/>
          <w:color w:val="auto"/>
        </w:rPr>
        <w:t>The system for the approval of clinical trials in the EU is governed by the EU Clinical Trials Regulation 536/2014. Under this system, an applicant must obtain prior approval from the national competent authority, or NCA, of the EU Member States in which the clinical trial is to be conducted. Furthermore, the applicant may only start a clinical trial at a specific study site after the competent ethics committee, or EC, has issued a favorable opinion. The EU Clinical Trials Regulation (which replaced the previous Clinical Trials Directive 2001/20/EC on January 31, 2022) is directly applicable in all Member States (and so does not require national implementing legislation in each Member State) and aims at simplifying and streamlining the approval of clinical studies in the EU. The main characteristics of the Regulation include: a streamlined application procedure via a single-entry point through the Clinical Trials Information System, or CTIS; a single set of documents to be prepared and submitted for the application as well as simplified reporting procedures for clinical trial sponsors; and a harmonized procedure for the assessment of applications for clinical trials, which is divided in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Reference Member State. Part II is assessed separately by each Member State concerned. Strict deadlines have also been established for the assessment of clinical trial applications.</w:t>
      </w:r>
    </w:p>
    <w:p>
      <w:pPr>
        <w:spacing w:after="0" w:line="1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All of the aforementioned EU rules are generally applicable in the EEA.</w:t>
      </w:r>
    </w:p>
    <w:p>
      <w:pPr>
        <w:spacing w:after="0" w:line="225" w:lineRule="exact"/>
        <w:rPr>
          <w:sz w:val="20"/>
          <w:szCs w:val="20"/>
          <w:color w:val="auto"/>
        </w:rPr>
      </w:pPr>
    </w:p>
    <w:p>
      <w:pPr>
        <w:ind w:right="20" w:firstLine="584"/>
        <w:spacing w:after="0" w:line="261" w:lineRule="auto"/>
        <w:rPr>
          <w:sz w:val="20"/>
          <w:szCs w:val="20"/>
          <w:color w:val="auto"/>
        </w:rPr>
      </w:pPr>
      <w:r>
        <w:rPr>
          <w:rFonts w:ascii="Times New Roman" w:cs="Times New Roman" w:eastAsia="Times New Roman" w:hAnsi="Times New Roman"/>
          <w:sz w:val="18"/>
          <w:szCs w:val="18"/>
          <w:color w:val="auto"/>
        </w:rPr>
        <w:t>The European Commission introduced legislative proposals in April 2023 that, if implemented, will replace the current regulatory framework in the EU for all medicines (including those for rare diseases and for children). The European Commission has provided the legislative proposals to the European Parliament and the European Council for their review and approval, and, in April 2024, the European Parliament proposed amendments to the legislative proposals. Once the European Commission’s legislative proposals are approved (with or without amendment), they will be adopted into EU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of data collection outside of the United States</w:t>
      </w:r>
    </w:p>
    <w:p>
      <w:pPr>
        <w:spacing w:after="0" w:line="229" w:lineRule="exact"/>
        <w:rPr>
          <w:sz w:val="20"/>
          <w:szCs w:val="20"/>
          <w:color w:val="auto"/>
        </w:rPr>
      </w:pPr>
    </w:p>
    <w:p>
      <w:pPr>
        <w:ind w:right="40" w:firstLine="584"/>
        <w:spacing w:after="0" w:line="254" w:lineRule="auto"/>
        <w:rPr>
          <w:sz w:val="20"/>
          <w:szCs w:val="20"/>
          <w:color w:val="auto"/>
        </w:rPr>
      </w:pPr>
      <w:r>
        <w:rPr>
          <w:rFonts w:ascii="Times New Roman" w:cs="Times New Roman" w:eastAsia="Times New Roman" w:hAnsi="Times New Roman"/>
          <w:sz w:val="18"/>
          <w:szCs w:val="18"/>
          <w:color w:val="auto"/>
        </w:rPr>
        <w:t>We conduct clinical trials in the EU, and as a result are subject to additional privacy restrictions in relation to those clinical trials. The collection and use of personal health data in the EEA is governed by the General Data Protection Regulation 2016/679, or the EU GDPR, and national implementing laws. Switzerland has passed similar laws, and following the UK’s decision to leave the EU, the UK has enacted legislation which is substantially aligned with the GDPR, by virtue of the EU (Withdrawal) Act 2018, as amended (together with the EU GDPR, the GDPR). The GDPR applies to the processing of personal data by any company established in the EEA or UK and to companies established outside the EEA or UK to the extent they process personal data in connection with the offering of goods or services to data subjects in the EEA or UK, or the monitoring of the behavior of data subjects in the EEA or UK. The GDPR enhances data protection obligations for data controllers of personal data, including strict requirements relating to the processing of sensitive data (such as health data), ensuring there is a legal basis or condition to justify the processing of personal data, stringent requirements relating to the consent of data subjects (where required), expanded disclosures about how personal data is used, enhanced requirements for</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4" w:name="page35"/>
    <w:bookmarkEnd w:id="34"/>
    <w:p>
      <w:pPr>
        <w:spacing w:after="0" w:line="253" w:lineRule="auto"/>
        <w:rPr>
          <w:sz w:val="20"/>
          <w:szCs w:val="20"/>
          <w:color w:val="auto"/>
        </w:rPr>
      </w:pPr>
      <w:r>
        <w:rPr>
          <w:rFonts w:ascii="Times New Roman" w:cs="Times New Roman" w:eastAsia="Times New Roman" w:hAnsi="Times New Roman"/>
          <w:sz w:val="18"/>
          <w:szCs w:val="18"/>
          <w:color w:val="auto"/>
        </w:rPr>
        <w:t>securing personal data, requirements to conduct privacy impact assessments for “high risk” processing, limitations on retention of personal data, mandatory data breach notification and “privacy by design” requirements, and creates direct obligations on service providers acting as processors. The GDPR also imposes strict rules on the transfer of personal data outside of the EEA or UK to countries that do not ensure an adequate level of protection, like the United States. Failure to comply with the requirements of the GDPR and the related national data protection laws of the EU Member States, the UK, and Norway, Iceland and Liechtenstein, which may deviate slightly from the GDPR, may result in fines of up to 4% of a company’s global revenue for the preceding financial year, or €20,000,000, whichever is greater. Moreover, the GDPR grants data subjects the right to claim material and non-material damages resulting from infringement of the GDPR. Maintaining compliance with the GDPR will continue to require significant time, resources and expense. There has been limited enforcement of the GDPR to date in biopharmaceutical development, so we face uncertainty as to the exact interpretation of the new requirements on any current and future trials and we may be unsuccessful in implementing and maintaining all measures required by data protection authorities or courts in interpretation of the law.</w:t>
      </w:r>
    </w:p>
    <w:p>
      <w:pPr>
        <w:spacing w:after="0" w:line="194" w:lineRule="exact"/>
        <w:rPr>
          <w:sz w:val="20"/>
          <w:szCs w:val="20"/>
          <w:color w:val="auto"/>
        </w:rPr>
      </w:pPr>
    </w:p>
    <w:p>
      <w:pPr>
        <w:jc w:val="both"/>
        <w:ind w:right="140" w:firstLine="584"/>
        <w:spacing w:after="0" w:line="256" w:lineRule="auto"/>
        <w:rPr>
          <w:sz w:val="20"/>
          <w:szCs w:val="20"/>
          <w:color w:val="auto"/>
        </w:rPr>
      </w:pPr>
      <w:r>
        <w:rPr>
          <w:rFonts w:ascii="Times New Roman" w:cs="Times New Roman" w:eastAsia="Times New Roman" w:hAnsi="Times New Roman"/>
          <w:sz w:val="18"/>
          <w:szCs w:val="18"/>
          <w:color w:val="auto"/>
        </w:rPr>
        <w:t>Further, since the UK’s decision to leave the EU, the UK is now regarded as a “third country” for the purposes of transfers of personal data from the EEA. The European Commission has, however, issued an adequacy decision recognizing the UK as providing adequate data protection and, therefore, transfers of personal data originating in the EEA to the UK remain unrestricted. Likewise, the UK government has confirmed that personal data transfers from the UK to the EEA remain free flowing. However, the UK government is planning to reform its data protection law with the Data (Use and Access) Bill, which it introduced to Parliament on 24 October 2024. These potential future changes to UK data protection laws may alter the similarities between the UK and EEA data protection regime and threaten the UK adequacy decision from the European Commission.</w:t>
      </w:r>
    </w:p>
    <w:p>
      <w:pPr>
        <w:spacing w:after="0" w:line="187" w:lineRule="exact"/>
        <w:rPr>
          <w:sz w:val="20"/>
          <w:szCs w:val="20"/>
          <w:color w:val="auto"/>
        </w:rPr>
      </w:pPr>
    </w:p>
    <w:p>
      <w:pPr>
        <w:ind w:firstLine="584"/>
        <w:spacing w:after="0" w:line="258" w:lineRule="auto"/>
        <w:rPr>
          <w:sz w:val="20"/>
          <w:szCs w:val="20"/>
          <w:color w:val="auto"/>
        </w:rPr>
      </w:pPr>
      <w:r>
        <w:rPr>
          <w:rFonts w:ascii="Times New Roman" w:cs="Times New Roman" w:eastAsia="Times New Roman" w:hAnsi="Times New Roman"/>
          <w:sz w:val="18"/>
          <w:szCs w:val="18"/>
          <w:color w:val="auto"/>
        </w:rPr>
        <w:t>Data protection authority activity differs across the EU and UK, with certain authorities applying their own agenda which shows there is uncertainty in the manner in which data protection authorities will seek to enforce compliance with GDPR. For example, it is not clear if the authorities will conduct random audits of companies doing business in the EU, or if the authorities will wait for complaints to be filed by individuals who claim their rights have been violated. Enforcement uncertainty and the costs associated with ensuring GDPR compliance are onerous and may adversely affect our business, financial condition, results of operations and prospects.</w:t>
      </w:r>
    </w:p>
    <w:p>
      <w:pPr>
        <w:spacing w:after="0" w:line="183" w:lineRule="exact"/>
        <w:rPr>
          <w:sz w:val="20"/>
          <w:szCs w:val="20"/>
          <w:color w:val="auto"/>
        </w:rPr>
      </w:pPr>
    </w:p>
    <w:p>
      <w:pPr>
        <w:ind w:right="320" w:firstLine="584"/>
        <w:spacing w:after="0" w:line="282" w:lineRule="auto"/>
        <w:rPr>
          <w:sz w:val="20"/>
          <w:szCs w:val="20"/>
          <w:color w:val="auto"/>
        </w:rPr>
      </w:pPr>
      <w:r>
        <w:rPr>
          <w:rFonts w:ascii="Times New Roman" w:cs="Times New Roman" w:eastAsia="Times New Roman" w:hAnsi="Times New Roman"/>
          <w:sz w:val="18"/>
          <w:szCs w:val="18"/>
          <w:color w:val="auto"/>
        </w:rPr>
        <w:t>Should we utilize third-party distributors, compliance with such foreign governmental regulations would generally be the responsibility of such distributors, who may be independent contractors over whom we have limited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20" w:firstLine="584"/>
        <w:spacing w:after="0" w:line="258" w:lineRule="auto"/>
        <w:rPr>
          <w:sz w:val="20"/>
          <w:szCs w:val="20"/>
          <w:color w:val="auto"/>
        </w:rPr>
      </w:pPr>
      <w:r>
        <w:rPr>
          <w:rFonts w:ascii="Times New Roman" w:cs="Times New Roman" w:eastAsia="Times New Roman" w:hAnsi="Times New Roman"/>
          <w:sz w:val="18"/>
          <w:szCs w:val="18"/>
          <w:color w:val="auto"/>
        </w:rPr>
        <w:t>We face direct competition from pharmaceutical and biotechnology companies leveraging the principle of synthetic lethality as well as companies developing therapies for the same target pathway and the same indications. Well-established companies that are developing or may develop therapies based on synthetic lethality include AstraZeneca, Amgen, Bristol Myers Squibb (BMS), Gilead, GlaxoSmithKline, Merck KGaA, Pfizer, Lilly and Roche. Smaller and earlier-stage companies focused on synthetic lethality include Artios Pharma, Beigene, Exelixis, IDEAYA Biosciences, Repare Therapeutics and Servier Pharmaceuticals.</w:t>
      </w:r>
    </w:p>
    <w:p>
      <w:pPr>
        <w:spacing w:after="0" w:line="183" w:lineRule="exact"/>
        <w:rPr>
          <w:sz w:val="20"/>
          <w:szCs w:val="20"/>
          <w:color w:val="auto"/>
        </w:rPr>
      </w:pPr>
    </w:p>
    <w:p>
      <w:pPr>
        <w:ind w:right="40" w:firstLine="584"/>
        <w:spacing w:after="0" w:line="258" w:lineRule="auto"/>
        <w:rPr>
          <w:sz w:val="20"/>
          <w:szCs w:val="20"/>
          <w:color w:val="auto"/>
        </w:rPr>
      </w:pPr>
      <w:r>
        <w:rPr>
          <w:rFonts w:ascii="Times New Roman" w:cs="Times New Roman" w:eastAsia="Times New Roman" w:hAnsi="Times New Roman"/>
          <w:sz w:val="18"/>
          <w:szCs w:val="18"/>
          <w:color w:val="auto"/>
        </w:rPr>
        <w:t>Our PRMT5 inhibitor program, which includes TNG462 and TNG456, will face direct competition from companies that have clinical-stage, MTA-cooperative PRMT5 inhibitors that are selective for MTAP-deleted cancers. We are aware that BMS (which acquired Mirati Therapeutics, Inc., or Mirati), Amgen, AstraZeneca, Beigene and Abbisko are in Phase 1/2 clinical trials with MTA-cooperative PRMT5 inhibitor programs, using the same mechanism of action as TNG462 and TNG456. There may be additional competition from other drug candidates not yet in clinic trials, such as Gilead Sciences and IDEAYA Biosciences. Currently, there are no MTA-cooperative PRMT5 inhibitors that are authorized for marketing by any regulatory authority.</w:t>
      </w:r>
    </w:p>
    <w:p>
      <w:pPr>
        <w:spacing w:after="0" w:line="183" w:lineRule="exact"/>
        <w:rPr>
          <w:sz w:val="20"/>
          <w:szCs w:val="20"/>
          <w:color w:val="auto"/>
        </w:rPr>
      </w:pPr>
    </w:p>
    <w:p>
      <w:pPr>
        <w:ind w:right="160" w:firstLine="584"/>
        <w:spacing w:after="0" w:line="261" w:lineRule="auto"/>
        <w:rPr>
          <w:sz w:val="20"/>
          <w:szCs w:val="20"/>
          <w:color w:val="auto"/>
        </w:rPr>
      </w:pPr>
      <w:r>
        <w:rPr>
          <w:rFonts w:ascii="Times New Roman" w:cs="Times New Roman" w:eastAsia="Times New Roman" w:hAnsi="Times New Roman"/>
          <w:sz w:val="18"/>
          <w:szCs w:val="18"/>
          <w:color w:val="auto"/>
        </w:rPr>
        <w:t>Indirect competition may come from MAT2A inhibitor programs that are uniquely different than the TNG462 and TNG456 mechanism of action but are synthetic lethal with MTAP-deletions. MAT2A is an enzyme upstream of PRMT5 essential for the metabolism of the PRMT5 co-factor SAM that acts on the same pathway as TNG462 and TNG456. We are aware that IDEAYA Biosciences, Beigene, Insilico Medicine and Servier Pharmaceuticals have clinical MAT2A inhibitor programs.</w:t>
      </w:r>
    </w:p>
    <w:p>
      <w:pPr>
        <w:spacing w:after="0" w:line="180" w:lineRule="exact"/>
        <w:rPr>
          <w:sz w:val="20"/>
          <w:szCs w:val="20"/>
          <w:color w:val="auto"/>
        </w:rPr>
      </w:pPr>
    </w:p>
    <w:p>
      <w:pPr>
        <w:ind w:right="100" w:firstLine="584"/>
        <w:spacing w:after="0" w:line="266" w:lineRule="auto"/>
        <w:rPr>
          <w:sz w:val="20"/>
          <w:szCs w:val="20"/>
          <w:color w:val="auto"/>
        </w:rPr>
      </w:pPr>
      <w:r>
        <w:rPr>
          <w:rFonts w:ascii="Times New Roman" w:cs="Times New Roman" w:eastAsia="Times New Roman" w:hAnsi="Times New Roman"/>
          <w:sz w:val="18"/>
          <w:szCs w:val="18"/>
          <w:color w:val="auto"/>
        </w:rPr>
        <w:t>We are not aware of any competition from other companies developing a similar mechanism as TNG260, our CoREST inhibitor program. Indirect competition may come from LSD1 inhibitor programs that target a different class of HDAC inhibitors than TNG260. We are aware that Jubilant Therapeutics has an LSD1-HDAC6 clinical program.</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5" w:name="page36"/>
    <w:bookmarkEnd w:id="35"/>
    <w:p>
      <w:pPr>
        <w:ind w:right="40" w:firstLine="584"/>
        <w:spacing w:after="0" w:line="253" w:lineRule="auto"/>
        <w:rPr>
          <w:sz w:val="20"/>
          <w:szCs w:val="20"/>
          <w:color w:val="auto"/>
        </w:rPr>
      </w:pPr>
      <w:r>
        <w:rPr>
          <w:rFonts w:ascii="Times New Roman" w:cs="Times New Roman" w:eastAsia="Times New Roman" w:hAnsi="Times New Roman"/>
          <w:sz w:val="18"/>
          <w:szCs w:val="18"/>
          <w:color w:val="auto"/>
        </w:rPr>
        <w:t>We face competition more broadly across the oncology market for safe, efficacious,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If any of our product candidates are approved, they may compete with these existing drugs and other therapies, and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94" w:lineRule="exact"/>
        <w:rPr>
          <w:sz w:val="20"/>
          <w:szCs w:val="20"/>
          <w:color w:val="auto"/>
        </w:rPr>
      </w:pPr>
    </w:p>
    <w:p>
      <w:pPr>
        <w:ind w:firstLine="584"/>
        <w:spacing w:after="0" w:line="256" w:lineRule="auto"/>
        <w:rPr>
          <w:sz w:val="20"/>
          <w:szCs w:val="20"/>
          <w:color w:val="auto"/>
        </w:rPr>
      </w:pPr>
      <w:r>
        <w:rPr>
          <w:rFonts w:ascii="Times New Roman" w:cs="Times New Roman" w:eastAsia="Times New Roman" w:hAnsi="Times New Roman"/>
          <w:sz w:val="18"/>
          <w:szCs w:val="18"/>
          <w:color w:val="auto"/>
        </w:rPr>
        <w:t>Many of our competitors, either alone or with their collaborators, have significantly greater resources,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significant competitors, particularly through collaborative arrangements with large and established companies. Additionally, mergers and acquisitions may result in even more resources being concentrated in our competitors.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ind w:right="180" w:firstLine="584"/>
        <w:spacing w:after="0" w:line="258" w:lineRule="auto"/>
        <w:rPr>
          <w:sz w:val="20"/>
          <w:szCs w:val="20"/>
          <w:color w:val="auto"/>
        </w:rPr>
      </w:pPr>
      <w:r>
        <w:rPr>
          <w:rFonts w:ascii="Times New Roman" w:cs="Times New Roman" w:eastAsia="Times New Roman" w:hAnsi="Times New Roman"/>
          <w:sz w:val="18"/>
          <w:szCs w:val="18"/>
          <w:color w:val="auto"/>
        </w:rPr>
        <w:t>Attracting and retaining qualified and experienced employees in research and development, clinical, manufacturing, regulatory, quality and other positions is crucial to our ability to compete effectively. Competition for these employees is intense in the pharmaceutical industry in which we operate. Our ability to recruit and retain such employees depends on a number of factors, including the growth of our organization, the culture and work environment we have created, our organizational values and goals and our corporate philosophy; talent development and career opportunities; and compensation and benefits.</w:t>
      </w:r>
    </w:p>
    <w:p>
      <w:pPr>
        <w:spacing w:after="0" w:line="183" w:lineRule="exact"/>
        <w:rPr>
          <w:sz w:val="20"/>
          <w:szCs w:val="20"/>
          <w:color w:val="auto"/>
        </w:rPr>
      </w:pPr>
    </w:p>
    <w:p>
      <w:pPr>
        <w:ind w:right="180" w:firstLine="584"/>
        <w:spacing w:after="0" w:line="266" w:lineRule="auto"/>
        <w:rPr>
          <w:sz w:val="20"/>
          <w:szCs w:val="20"/>
          <w:color w:val="auto"/>
        </w:rPr>
      </w:pPr>
      <w:r>
        <w:rPr>
          <w:rFonts w:ascii="Times New Roman" w:cs="Times New Roman" w:eastAsia="Times New Roman" w:hAnsi="Times New Roman"/>
          <w:sz w:val="18"/>
          <w:szCs w:val="18"/>
          <w:color w:val="auto"/>
        </w:rPr>
        <w:t>As of December 31, 2024, we had 155 full-time employees. 115 employees are engaged in research and development and 40 are engaged in business development, finance, legal, and general management and administration. None of our employees are represented by labor unions or covered by collective bargaining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and Employee Development</w:t>
      </w:r>
    </w:p>
    <w:p>
      <w:pPr>
        <w:spacing w:after="0" w:line="229" w:lineRule="exact"/>
        <w:rPr>
          <w:sz w:val="20"/>
          <w:szCs w:val="20"/>
          <w:color w:val="auto"/>
        </w:rPr>
      </w:pPr>
    </w:p>
    <w:p>
      <w:pPr>
        <w:ind w:right="20" w:firstLine="584"/>
        <w:spacing w:after="0" w:line="254" w:lineRule="auto"/>
        <w:rPr>
          <w:sz w:val="20"/>
          <w:szCs w:val="20"/>
          <w:color w:val="auto"/>
        </w:rPr>
      </w:pPr>
      <w:r>
        <w:rPr>
          <w:rFonts w:ascii="Times New Roman" w:cs="Times New Roman" w:eastAsia="Times New Roman" w:hAnsi="Times New Roman"/>
          <w:sz w:val="18"/>
          <w:szCs w:val="18"/>
          <w:color w:val="auto"/>
        </w:rPr>
        <w:t>Our principal talent acquisition goal is to attract, retain, and develop the highest quality talent. As we build our organization beyond drug discovery and drug development, our goals have been extended to include establishing an employee base that will allow us to efficiently move our pipeline products through clinical trials, regulatory approvals and into the markets where we can help patients and their families and, simultaneously, to have employees that provide diverse backgrounds and ideas, are trained to operate and act at the highest standards of ethics and integrity, and are dedicated to achieve the highest level of innovation and to advance precision oncology treatments through the use of synthetic lethality. To support our talent acquisition, our human resources programs are designed to develop talent to prepare them for leadership positions in the future; reward employees through competitive benefits programs, including competitive pay, incentive compensation, and an equity program that aligns the incentives of our employees with the interests of our shareholders; enhance our culture through efforts aimed at making the workplace engaging and inclusive; and retain and develop talent that embody our core values.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w:t>
      </w:r>
    </w:p>
    <w:p>
      <w:pPr>
        <w:spacing w:after="0" w:line="229" w:lineRule="exact"/>
        <w:rPr>
          <w:sz w:val="20"/>
          <w:szCs w:val="20"/>
          <w:color w:val="auto"/>
        </w:rPr>
      </w:pPr>
    </w:p>
    <w:p>
      <w:pPr>
        <w:ind w:right="20" w:firstLine="584"/>
        <w:spacing w:after="0" w:line="255" w:lineRule="auto"/>
        <w:rPr>
          <w:sz w:val="20"/>
          <w:szCs w:val="20"/>
          <w:color w:val="auto"/>
        </w:rPr>
      </w:pPr>
      <w:r>
        <w:rPr>
          <w:rFonts w:ascii="Times New Roman" w:cs="Times New Roman" w:eastAsia="Times New Roman" w:hAnsi="Times New Roman"/>
          <w:sz w:val="18"/>
          <w:szCs w:val="18"/>
          <w:color w:val="auto"/>
        </w:rPr>
        <w:t>Our employees represent a broad set of backgrounds, perspectives and experiences. We attribute a significant aspect of our early growth and success to the diversity that our employees bring with them to their professional roles. We view our culture, which includes a commitment to diversity, equity and inclusion, as the foundation upon which we are building a leading synthetic lethality business that strives to make advances in oncology care, all with the objective of benefiting patients. We are focused on building a work environment in which employees can express themselves and have a voice in how we operate. To facilitate this, members of our management meet in small group sessions with all employees throughout the year in a program called Tango Connects. The feedback in these meetings informs our professional development programs, compensation structure, employee communication processes and content, organizational development and our culture.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6" w:name="page37"/>
    <w:bookmarkEnd w:id="36"/>
    <w:p>
      <w:pPr>
        <w:ind w:right="20" w:firstLine="584"/>
        <w:spacing w:after="0" w:line="254" w:lineRule="auto"/>
        <w:rPr>
          <w:sz w:val="20"/>
          <w:szCs w:val="20"/>
          <w:color w:val="auto"/>
        </w:rPr>
      </w:pPr>
      <w:r>
        <w:rPr>
          <w:rFonts w:ascii="Times New Roman" w:cs="Times New Roman" w:eastAsia="Times New Roman" w:hAnsi="Times New Roman"/>
          <w:sz w:val="18"/>
          <w:szCs w:val="18"/>
          <w:color w:val="auto"/>
        </w:rPr>
        <w:t>Our commitment to diversity, equity, inclusion, and belonging is an integral part of our corporate culture, embedded within our overall operational framework. We view diversity through a broad lens that encompasses cultural, ethnic, gender, sexual orientation, experiences, world views, and backgrounds, with the goal of fostering a truly inclusive environment. Our recruiting program also aims to ensure that our workforce reflects a wide range of experiences, backgrounds and perspectives. We regularly highlight our employees' diverse backgrounds, experiences, and traditions through in-office events, ensuring that inclusiveness is a daily practice. Our inclusive environment is further supported by multiple forums that encourage employees to share their opinions, including engagement surveys, Tango Connects, and Tips for Tango (an initiative that was instituted to allow employees to submit suggestions to improve any aspect of our work environment, work processes or culture). Utilizing insights from these activities, we are committed to fostering a workplace where inclusiveness and belonging are foundational.</w:t>
      </w:r>
    </w:p>
    <w:p>
      <w:pPr>
        <w:spacing w:after="0" w:line="192" w:lineRule="exact"/>
        <w:rPr>
          <w:sz w:val="20"/>
          <w:szCs w:val="20"/>
          <w:color w:val="auto"/>
        </w:rPr>
      </w:pPr>
    </w:p>
    <w:p>
      <w:pPr>
        <w:jc w:val="both"/>
        <w:ind w:right="380" w:firstLine="584"/>
        <w:spacing w:after="0" w:line="266" w:lineRule="auto"/>
        <w:rPr>
          <w:sz w:val="20"/>
          <w:szCs w:val="20"/>
          <w:color w:val="auto"/>
        </w:rPr>
      </w:pPr>
      <w:r>
        <w:rPr>
          <w:rFonts w:ascii="Times New Roman" w:cs="Times New Roman" w:eastAsia="Times New Roman" w:hAnsi="Times New Roman"/>
          <w:sz w:val="18"/>
          <w:szCs w:val="18"/>
          <w:color w:val="auto"/>
        </w:rPr>
        <w:t>Further, the Nominating and Corporate Governance Committee charter sets forth specific guidelines that the Committee will use in evaluating future individuals for nomination to the Board of Directors. Among the identified factors the Committee is to consider in nominating a candidate is the diversity of a candidate. The Board recognizes that diversity plays an important role in its functioning and operations.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These and similar programs are important to develop a sense of belonging for all employees and for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229" w:lineRule="exact"/>
        <w:rPr>
          <w:sz w:val="20"/>
          <w:szCs w:val="20"/>
          <w:color w:val="auto"/>
        </w:rPr>
      </w:pPr>
    </w:p>
    <w:p>
      <w:pPr>
        <w:ind w:right="80" w:firstLine="584"/>
        <w:spacing w:after="0" w:line="277" w:lineRule="auto"/>
        <w:rPr>
          <w:sz w:val="20"/>
          <w:szCs w:val="20"/>
          <w:color w:val="auto"/>
        </w:rPr>
      </w:pPr>
      <w:r>
        <w:rPr>
          <w:rFonts w:ascii="Times New Roman" w:cs="Times New Roman" w:eastAsia="Times New Roman" w:hAnsi="Times New Roman"/>
          <w:sz w:val="17"/>
          <w:szCs w:val="17"/>
          <w:color w:val="auto"/>
        </w:rPr>
        <w:t>We survey our employees on an annual basis to assess the overall engagement of our workforce, and compare our engagement results against prior year results, as well as a set of benchmark companies in the biotech sector and of similar size (as measured by number of employees). We compare both our internal and comparative results to assess our employee engagement performance during the preceding year and to determine areas of focus going forward. We leverage an engagement task force that consists of employees from each of our functional business areas, with the oversight of a member of the management team, to obtain detailed feedback on the survey results and to generate and implement proposals to improve the employee experience.</w:t>
      </w:r>
    </w:p>
    <w:p>
      <w:pPr>
        <w:spacing w:after="0" w:line="168" w:lineRule="exact"/>
        <w:rPr>
          <w:sz w:val="20"/>
          <w:szCs w:val="20"/>
          <w:color w:val="auto"/>
        </w:rPr>
      </w:pPr>
    </w:p>
    <w:p>
      <w:pPr>
        <w:ind w:firstLine="584"/>
        <w:spacing w:after="0" w:line="255" w:lineRule="auto"/>
        <w:rPr>
          <w:sz w:val="20"/>
          <w:szCs w:val="20"/>
          <w:color w:val="auto"/>
        </w:rPr>
      </w:pPr>
      <w:r>
        <w:rPr>
          <w:rFonts w:ascii="Times New Roman" w:cs="Times New Roman" w:eastAsia="Times New Roman" w:hAnsi="Times New Roman"/>
          <w:sz w:val="18"/>
          <w:szCs w:val="18"/>
          <w:color w:val="auto"/>
        </w:rPr>
        <w:t>We implemented a number of initiatives in response to employee feedback in the 2023 engagement survey, including establishing processes for: (i) cultivating a community of respect among associates through company-wide interpersonal communication training and team effectiveness workshops, as well as a revised employee handbook that incorporates respectful interaction and employee dispute escalation and resolution processes into our policies; (ii) taking meaningful action by creating a database that tracks the themes of each year's survey, corporate actions taken and the outcomes of those actions; and</w:t>
      </w:r>
    </w:p>
    <w:p>
      <w:pPr>
        <w:spacing w:after="0" w:line="3" w:lineRule="exact"/>
        <w:rPr>
          <w:sz w:val="20"/>
          <w:szCs w:val="20"/>
          <w:color w:val="auto"/>
        </w:rPr>
      </w:pPr>
    </w:p>
    <w:p>
      <w:pPr>
        <w:ind w:firstLine="8"/>
        <w:spacing w:after="0" w:line="251" w:lineRule="auto"/>
        <w:tabs>
          <w:tab w:leader="none" w:pos="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processes to provide associates with meaningful recognition and feedback on performance and contributions by creating new research forums to allow more associates to present the work to a broader corporate audience and utilizing "skip-level" and meetings with corporate leadership in order to allow associates to get feedback and recognition from higher level managers and input on what managers look for in successful associates. In our most recent survey, conducted in 2024, we continued to generate results that were generally higher than our benchmark dataset, which supports our view that we have positive employee engagement. We identified areas where we are performing well, such as our efforts around managers genuinely caring about associate well-being, associates knowing that their work contributes to Company goals and that the Company is committed to social responsibility, including community support and sustainability. As is the case with every survey, we also used the data to identify areas where we want to focus our efforts for improvement, including letting associates know that their feedback is encouraged and will not be viewed negatively. As we did in 2023, we will take these 2024 results, and a new engagement task force has been formed to enable actions that will further improve our engagement.</w:t>
      </w:r>
    </w:p>
    <w:p>
      <w:pPr>
        <w:spacing w:after="0" w:line="193" w:lineRule="exact"/>
        <w:rPr>
          <w:sz w:val="20"/>
          <w:szCs w:val="20"/>
          <w:color w:val="auto"/>
        </w:rPr>
      </w:pPr>
    </w:p>
    <w:p>
      <w:pPr>
        <w:ind w:right="80" w:firstLine="584"/>
        <w:spacing w:after="0" w:line="266" w:lineRule="auto"/>
        <w:rPr>
          <w:sz w:val="20"/>
          <w:szCs w:val="20"/>
          <w:color w:val="auto"/>
        </w:rPr>
      </w:pPr>
      <w:r>
        <w:rPr>
          <w:rFonts w:ascii="Times New Roman" w:cs="Times New Roman" w:eastAsia="Times New Roman" w:hAnsi="Times New Roman"/>
          <w:sz w:val="18"/>
          <w:szCs w:val="18"/>
          <w:color w:val="auto"/>
        </w:rPr>
        <w:t>We also conduct regular townhall meetings with our employees that are intended to keep our employees updated on important corporate initiatives and to obtain input from employees on these initiatives. We also use periodic employee surveys so we can quickly obtain employee feedback on new programs or policies that are under consideration.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all other information in this Annual Report on Form 10-K, including our financial statements and the related notes and the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The material and other risks and uncertainties summarized above (See "Summary of Material Risks Associated with Our Business") and described below are not intended to be exhaustive and are not the only ones we face. Additional risks and uncertainties not presently known to us or that we currently deem immaterial may also impair our business operations. This Annual Report on Form 10-K also contains forward-looking statements that involve risks and uncertainties. Our actual results could differ materially from those anticipated in the forward-looking statements as a result of a number of factors, including the risks described below. See also the section titled “Note Regarding Forward-Looking Statements” above.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precision oncology company with a limited operating history.</w:t>
      </w:r>
    </w:p>
    <w:p>
      <w:pPr>
        <w:spacing w:after="0" w:line="121"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We are a precision oncology company with a limited operating history. Biopharmaceutical product development is a highly speculative undertaking and involves a substantial degree of risk. Since the Company's inception, we have devoted substantially all of our efforts to organizing and staffing our company, acquiring and developing intellectual property, business planning, raising capital, conducting discovery, research and development activities (including conducting clinical trials), and providing general and administrative support for these operations. We have no products approved for commercial sale and therefore have never generated any revenue from product sales, and we do not expect to in the foreseeable future. The revenue that we have generated from our collaboration agreement is also not sufficient to fund our operations. We have not obtained regulatory approvals to market and sell any of our product candidates, and there is no assurance that we will obtain approvals in the future. The FDA has cleared five of our IND applications (TNG908, TNG462, TNG260, TNG348 and TNG456); however, we have since discontinued development of TNG908 and TNG348. Our other product candidates are still in preclinical development. We expect to continue to incur significant expenses and operating losses over the next several years and for the foreseeable future. Our prior losses, combined with expected future losses, have had and will continue to have an adverse effect on cash and cash equivalent holdings, accumulated deficit, stockholders’ equity and working capital. If we were to expend our cash resources more quickly than we anticipate as we advance into and through the regulatory approval process for our product candidates, our cash runway may be shorter than the target we may disclose from time to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and anticipate that we will continue to incur losses for the foreseeable future.</w:t>
      </w:r>
    </w:p>
    <w:p>
      <w:pPr>
        <w:spacing w:after="0" w:line="121" w:lineRule="exact"/>
        <w:rPr>
          <w:sz w:val="20"/>
          <w:szCs w:val="20"/>
          <w:color w:val="auto"/>
        </w:rPr>
      </w:pPr>
    </w:p>
    <w:p>
      <w:pPr>
        <w:ind w:right="140" w:firstLine="576"/>
        <w:spacing w:after="0" w:line="254"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As of December 31, 2024, we had an accumulated deficit of $501.6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continuation of clinical trials of our product candidates. In addition, if we obtain regulatory approval for our product candidates, we will incur significant sales, marketing and manufacturing expenses.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our operating results to fluctuate significantly in the future as our business advances</w:t>
      </w:r>
    </w:p>
    <w:p>
      <w:pPr>
        <w:spacing w:after="0" w:line="121" w:lineRule="exact"/>
        <w:rPr>
          <w:sz w:val="20"/>
          <w:szCs w:val="20"/>
          <w:color w:val="auto"/>
        </w:rPr>
      </w:pPr>
    </w:p>
    <w:p>
      <w:pPr>
        <w:ind w:right="140" w:firstLine="576"/>
        <w:spacing w:after="0" w:line="261" w:lineRule="auto"/>
        <w:rPr>
          <w:sz w:val="20"/>
          <w:szCs w:val="20"/>
          <w:color w:val="auto"/>
        </w:rPr>
      </w:pPr>
      <w:r>
        <w:rPr>
          <w:rFonts w:ascii="Times New Roman" w:cs="Times New Roman" w:eastAsia="Times New Roman" w:hAnsi="Times New Roman"/>
          <w:sz w:val="18"/>
          <w:szCs w:val="18"/>
          <w:color w:val="auto"/>
        </w:rPr>
        <w:t>The amount of our future losses is uncertain and our quarterly and annual operating results may fluctuate significantly or may fall below the expectations of investors or securities analysts, each of which may cause our stock price to fluctuate or decline. Our quarterly and annual operating results may fluctuate significantly in the future due to a variety of factors, many of which are outside of our control and may be difficult to predict, including the following:</w:t>
      </w:r>
    </w:p>
    <w:p>
      <w:pPr>
        <w:spacing w:after="0" w:line="72" w:lineRule="exact"/>
        <w:rPr>
          <w:sz w:val="20"/>
          <w:szCs w:val="20"/>
          <w:color w:val="auto"/>
        </w:rPr>
      </w:pPr>
    </w:p>
    <w:p>
      <w:pPr>
        <w:ind w:right="40" w:firstLine="230"/>
        <w:spacing w:after="0" w:line="266" w:lineRule="auto"/>
        <w:rPr>
          <w:sz w:val="20"/>
          <w:szCs w:val="20"/>
          <w:color w:val="auto"/>
        </w:rPr>
      </w:pPr>
      <w:r>
        <w:rPr>
          <w:rFonts w:ascii="Times New Roman" w:cs="Times New Roman" w:eastAsia="Times New Roman" w:hAnsi="Times New Roman"/>
          <w:sz w:val="18"/>
          <w:szCs w:val="18"/>
          <w:color w:val="auto"/>
        </w:rPr>
        <w:t>the timing and success or failure of ongoing and future clinical trials for our product candidates or competing product candidates, or any other change in the competitive landscape of our industry, including consolidation among our competitors or partners (such as the acquisition of Mirati by Bristol Myers Squibb in January 2024);</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ind w:right="500" w:firstLine="230"/>
        <w:spacing w:after="0" w:line="261" w:lineRule="auto"/>
        <w:rPr>
          <w:sz w:val="20"/>
          <w:szCs w:val="20"/>
          <w:color w:val="auto"/>
        </w:rPr>
      </w:pPr>
      <w:r>
        <w:rPr>
          <w:rFonts w:ascii="Times New Roman" w:cs="Times New Roman" w:eastAsia="Times New Roman" w:hAnsi="Times New Roman"/>
          <w:sz w:val="18"/>
          <w:szCs w:val="18"/>
          <w:color w:val="auto"/>
        </w:rPr>
        <w:t>our ability to obtain INDs for our pipeline product candidates, successfully open clinical trial sites and recruit and retain subjects for clinical trials (including combination trials), and any delays caused by difficulties in connection with such efforts;</w:t>
      </w:r>
    </w:p>
    <w:p>
      <w:pPr>
        <w:ind w:right="200" w:firstLine="230"/>
        <w:spacing w:after="0" w:line="250" w:lineRule="auto"/>
        <w:rPr>
          <w:sz w:val="20"/>
          <w:szCs w:val="20"/>
          <w:color w:val="auto"/>
        </w:rPr>
      </w:pPr>
      <w:r>
        <w:rPr>
          <w:rFonts w:ascii="Times New Roman" w:cs="Times New Roman" w:eastAsia="Times New Roman" w:hAnsi="Times New Roman"/>
          <w:sz w:val="18"/>
          <w:szCs w:val="18"/>
          <w:color w:val="auto"/>
        </w:rPr>
        <w:t>our ability to obtain regulatory approval for the marketing and sale of our product candidates, and the timing and scope of any such approvals we may receive;</w:t>
      </w:r>
    </w:p>
    <w:p>
      <w:pPr>
        <w:ind w:right="660" w:firstLine="230"/>
        <w:spacing w:after="0" w:line="250" w:lineRule="auto"/>
        <w:rPr>
          <w:sz w:val="20"/>
          <w:szCs w:val="20"/>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and any future product candidates and research-stage programs, any of which may change from time to time;</w:t>
      </w:r>
    </w:p>
    <w:p>
      <w:pPr>
        <w:ind w:right="80" w:firstLine="230"/>
        <w:spacing w:after="0" w:line="250" w:lineRule="auto"/>
        <w:rPr>
          <w:sz w:val="20"/>
          <w:szCs w:val="20"/>
          <w:color w:val="auto"/>
        </w:rPr>
      </w:pPr>
      <w:r>
        <w:rPr>
          <w:rFonts w:ascii="Times New Roman" w:cs="Times New Roman" w:eastAsia="Times New Roman" w:hAnsi="Times New Roman"/>
          <w:sz w:val="18"/>
          <w:szCs w:val="18"/>
          <w:color w:val="auto"/>
        </w:rPr>
        <w:t>the cost of manufacturing our product candidates and products (should they receive regulatory approval), which may vary depending on FDA and other comparable foreign regulatory requirements, the quantity of production and the terms of our agreements with manufacturers;</w:t>
      </w:r>
    </w:p>
    <w:p>
      <w:pPr>
        <w:spacing w:after="0"/>
        <w:rPr>
          <w:sz w:val="20"/>
          <w:szCs w:val="20"/>
          <w:color w:val="auto"/>
        </w:rPr>
      </w:pPr>
      <w:r>
        <w:rPr>
          <w:rFonts w:ascii="Times New Roman" w:cs="Times New Roman" w:eastAsia="Times New Roman" w:hAnsi="Times New Roman"/>
          <w:sz w:val="18"/>
          <w:szCs w:val="18"/>
          <w:color w:val="auto"/>
        </w:rPr>
        <w:t>expenditures that we will or may incur to identify, research and develop additional product candidates;</w:t>
      </w:r>
    </w:p>
    <w:p>
      <w:pPr>
        <w:spacing w:after="0" w:line="9" w:lineRule="exact"/>
        <w:rPr>
          <w:sz w:val="20"/>
          <w:szCs w:val="20"/>
          <w:color w:val="auto"/>
        </w:rPr>
      </w:pPr>
    </w:p>
    <w:p>
      <w:pPr>
        <w:ind w:right="740" w:firstLine="230"/>
        <w:spacing w:after="0" w:line="250" w:lineRule="auto"/>
        <w:rPr>
          <w:sz w:val="20"/>
          <w:szCs w:val="20"/>
          <w:color w:val="auto"/>
        </w:rPr>
      </w:pPr>
      <w:r>
        <w:rPr>
          <w:rFonts w:ascii="Times New Roman" w:cs="Times New Roman" w:eastAsia="Times New Roman" w:hAnsi="Times New Roman"/>
          <w:sz w:val="18"/>
          <w:szCs w:val="18"/>
          <w:color w:val="auto"/>
        </w:rPr>
        <w:t>the level of demand for our product candidates (should they receive regulatory approval), which may vary significantly from our expectations; the risk/benefit profile, cost and reimbursement policies with respect to our product candidates, if approved, and existing and potential future therapeutics that compete with our product candidates;</w:t>
      </w:r>
    </w:p>
    <w:p>
      <w:pPr>
        <w:spacing w:after="0" w:line="1" w:lineRule="exact"/>
        <w:rPr>
          <w:sz w:val="20"/>
          <w:szCs w:val="20"/>
          <w:color w:val="auto"/>
        </w:rPr>
      </w:pPr>
    </w:p>
    <w:p>
      <w:pPr>
        <w:ind w:right="320" w:firstLine="230"/>
        <w:spacing w:after="0" w:line="250" w:lineRule="auto"/>
        <w:rPr>
          <w:sz w:val="20"/>
          <w:szCs w:val="20"/>
          <w:color w:val="auto"/>
        </w:rPr>
      </w:pPr>
      <w:r>
        <w:rPr>
          <w:rFonts w:ascii="Times New Roman" w:cs="Times New Roman" w:eastAsia="Times New Roman" w:hAnsi="Times New Roman"/>
          <w:sz w:val="18"/>
          <w:szCs w:val="18"/>
          <w:color w:val="auto"/>
        </w:rPr>
        <w:t>the changing and volatile U.S. and global economic environments, including as a result of the efforts to reduce spending on healthcare generally and pharmaceuticals in particular; and</w:t>
      </w:r>
    </w:p>
    <w:p>
      <w:pPr>
        <w:spacing w:after="0"/>
        <w:rPr>
          <w:sz w:val="20"/>
          <w:szCs w:val="20"/>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99" w:lineRule="exact"/>
        <w:rPr>
          <w:sz w:val="20"/>
          <w:szCs w:val="20"/>
          <w:color w:val="auto"/>
        </w:rPr>
      </w:pPr>
    </w:p>
    <w:p>
      <w:pPr>
        <w:ind w:right="180" w:firstLine="576"/>
        <w:spacing w:after="0" w:line="258" w:lineRule="auto"/>
        <w:rPr>
          <w:sz w:val="20"/>
          <w:szCs w:val="20"/>
          <w:color w:val="auto"/>
        </w:rPr>
      </w:pPr>
      <w:r>
        <w:rPr>
          <w:rFonts w:ascii="Times New Roman" w:cs="Times New Roman" w:eastAsia="Times New Roman" w:hAnsi="Times New Roman"/>
          <w:sz w:val="18"/>
          <w:szCs w:val="18"/>
          <w:color w:val="auto"/>
        </w:rPr>
        <w:t>As a result, comparing our operating results on a period-to-period basis may not be meaningful. This variability and unpredictability could also result in our failing to meet the expectations of industry or financial analysts or investors for any period. If our clinical data, revenue or operating results fail to meet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financial or operational guidance we may provide.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products approved for commercial sale and have not generated any revenue from product sales.</w:t>
      </w:r>
    </w:p>
    <w:p>
      <w:pPr>
        <w:spacing w:after="0" w:line="121" w:lineRule="exact"/>
        <w:rPr>
          <w:sz w:val="20"/>
          <w:szCs w:val="20"/>
          <w:color w:val="auto"/>
        </w:rPr>
      </w:pPr>
    </w:p>
    <w:p>
      <w:pPr>
        <w:ind w:right="60" w:firstLine="576"/>
        <w:spacing w:after="0" w:line="266"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any revenue from product sales, and we do not expect to generate any revenue from the sale of products in the near future. Our ability to generate revenue depends on a number of factors, including, but not limited to, our ability to:</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successfully complete our planned preclinical studies for our novel precision oncology research and development programs;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timely file INDs for our programs, and obtain clearance of these INDs to allow for commencement of such future clinical trials;</w:t>
      </w:r>
    </w:p>
    <w:p>
      <w:pPr>
        <w:spacing w:after="0" w:line="9" w:lineRule="exact"/>
        <w:rPr>
          <w:sz w:val="20"/>
          <w:szCs w:val="20"/>
          <w:color w:val="auto"/>
        </w:rPr>
      </w:pPr>
    </w:p>
    <w:p>
      <w:pPr>
        <w:ind w:right="120" w:firstLine="230"/>
        <w:spacing w:after="0" w:line="250" w:lineRule="auto"/>
        <w:rPr>
          <w:sz w:val="20"/>
          <w:szCs w:val="20"/>
          <w:color w:val="auto"/>
        </w:rPr>
      </w:pPr>
      <w:r>
        <w:rPr>
          <w:rFonts w:ascii="Times New Roman" w:cs="Times New Roman" w:eastAsia="Times New Roman" w:hAnsi="Times New Roman"/>
          <w:sz w:val="18"/>
          <w:szCs w:val="18"/>
          <w:color w:val="auto"/>
        </w:rPr>
        <w:t>timely complete patient enrollment and patient dosing in our current and future clinical trials (including our current trials of TNG462 and TNG260 and planned clinical trials, including combination clinical trials, with TNG462 and TNG456);</w:t>
      </w:r>
    </w:p>
    <w:p>
      <w:pPr>
        <w:spacing w:after="0"/>
        <w:rPr>
          <w:sz w:val="20"/>
          <w:szCs w:val="20"/>
          <w:color w:val="auto"/>
        </w:rPr>
      </w:pPr>
      <w:r>
        <w:rPr>
          <w:rFonts w:ascii="Times New Roman" w:cs="Times New Roman" w:eastAsia="Times New Roman" w:hAnsi="Times New Roman"/>
          <w:sz w:val="18"/>
          <w:szCs w:val="18"/>
          <w:color w:val="auto"/>
        </w:rPr>
        <w:t>successfully complete our ongoing clinical trials and any future clinical trials we may initiate (including combination clinical trials);</w:t>
      </w:r>
    </w:p>
    <w:p>
      <w:pPr>
        <w:spacing w:after="0" w:line="9" w:lineRule="exact"/>
        <w:rPr>
          <w:sz w:val="20"/>
          <w:szCs w:val="20"/>
          <w:color w:val="auto"/>
        </w:rPr>
      </w:pPr>
    </w:p>
    <w:p>
      <w:pPr>
        <w:ind w:right="660" w:firstLine="230"/>
        <w:spacing w:after="0" w:line="250" w:lineRule="auto"/>
        <w:rPr>
          <w:sz w:val="20"/>
          <w:szCs w:val="20"/>
          <w:color w:val="auto"/>
        </w:rPr>
      </w:pPr>
      <w:r>
        <w:rPr>
          <w:rFonts w:ascii="Times New Roman" w:cs="Times New Roman" w:eastAsia="Times New Roman" w:hAnsi="Times New Roman"/>
          <w:sz w:val="18"/>
          <w:szCs w:val="18"/>
          <w:color w:val="auto"/>
        </w:rPr>
        <w:t>successfully enroll the patients with specific cancers that are the focus of our clinical trials, such as patients with limited prior treatment lines in pancreatic and lung cancer for our ongoing monotherapy trial for TNG462;</w:t>
      </w:r>
    </w:p>
    <w:p>
      <w:pPr>
        <w:ind w:right="460" w:firstLine="230"/>
        <w:spacing w:after="0" w:line="250" w:lineRule="auto"/>
        <w:rPr>
          <w:sz w:val="20"/>
          <w:szCs w:val="20"/>
          <w:color w:val="auto"/>
        </w:rPr>
      </w:pPr>
      <w:r>
        <w:rPr>
          <w:rFonts w:ascii="Times New Roman" w:cs="Times New Roman" w:eastAsia="Times New Roman" w:hAnsi="Times New Roman"/>
          <w:sz w:val="18"/>
          <w:szCs w:val="18"/>
          <w:color w:val="auto"/>
        </w:rPr>
        <w:t>initiate and successfully complete all safety and efficacy studies required to obtain U.S. and foreign regulatory approval for the sale of our product candidates and obtain approval of our products by regulatory authorities;</w:t>
      </w:r>
    </w:p>
    <w:p>
      <w:pPr>
        <w:ind w:left="240" w:right="2660"/>
        <w:spacing w:after="0" w:line="250" w:lineRule="auto"/>
        <w:rPr>
          <w:sz w:val="20"/>
          <w:szCs w:val="20"/>
          <w:color w:val="auto"/>
        </w:rPr>
      </w:pPr>
      <w:r>
        <w:rPr>
          <w:rFonts w:ascii="Times New Roman" w:cs="Times New Roman" w:eastAsia="Times New Roman" w:hAnsi="Times New Roman"/>
          <w:sz w:val="18"/>
          <w:szCs w:val="18"/>
          <w:color w:val="auto"/>
        </w:rPr>
        <w:t>make and maintain arrangements with third-party manufacturers for clinical supply and commercial manufacturing; obtain and maintain patent and/or trade secret protection or regulatory exclusivity for our product candidates;</w:t>
      </w:r>
    </w:p>
    <w:p>
      <w:pPr>
        <w:spacing w:after="0"/>
        <w:rPr>
          <w:sz w:val="20"/>
          <w:szCs w:val="20"/>
          <w:color w:val="auto"/>
        </w:rPr>
      </w:pPr>
      <w:r>
        <w:rPr>
          <w:rFonts w:ascii="Times New Roman" w:cs="Times New Roman" w:eastAsia="Times New Roman" w:hAnsi="Times New Roman"/>
          <w:sz w:val="18"/>
          <w:szCs w:val="18"/>
          <w:color w:val="auto"/>
        </w:rPr>
        <w:t>launch commercial sales of our products, if and when approved, whether alone or in collaboration with others;</w:t>
      </w:r>
    </w:p>
    <w:p>
      <w:pPr>
        <w:spacing w:after="0" w:line="9" w:lineRule="exact"/>
        <w:rPr>
          <w:sz w:val="20"/>
          <w:szCs w:val="20"/>
          <w:color w:val="auto"/>
        </w:rPr>
      </w:pPr>
    </w:p>
    <w:p>
      <w:pPr>
        <w:ind w:left="240" w:right="560"/>
        <w:spacing w:after="0" w:line="250" w:lineRule="auto"/>
        <w:rPr>
          <w:sz w:val="20"/>
          <w:szCs w:val="20"/>
          <w:color w:val="auto"/>
        </w:rPr>
      </w:pPr>
      <w:r>
        <w:rPr>
          <w:rFonts w:ascii="Times New Roman" w:cs="Times New Roman" w:eastAsia="Times New Roman" w:hAnsi="Times New Roman"/>
          <w:sz w:val="18"/>
          <w:szCs w:val="18"/>
          <w:color w:val="auto"/>
        </w:rPr>
        <w:t>obtain and maintain acceptance of our products, if and when approved for marketing, by patients, the medical community and third-party payors; position our products to effectively compete with other therapies;</w:t>
      </w:r>
    </w:p>
    <w:p>
      <w:pPr>
        <w:ind w:left="240" w:right="1260"/>
        <w:spacing w:after="0" w:line="250" w:lineRule="auto"/>
        <w:rPr>
          <w:sz w:val="20"/>
          <w:szCs w:val="20"/>
          <w:color w:val="auto"/>
        </w:rPr>
      </w:pPr>
      <w:r>
        <w:rPr>
          <w:rFonts w:ascii="Times New Roman" w:cs="Times New Roman" w:eastAsia="Times New Roman" w:hAnsi="Times New Roman"/>
          <w:sz w:val="18"/>
          <w:szCs w:val="18"/>
          <w:color w:val="auto"/>
        </w:rPr>
        <w:t>obtain and maintain healthcare coverage and adequate reimbursement for our products, if and when approved by regulatory authorities; enforce and defend intellectual property rights and claims; and</w:t>
      </w:r>
    </w:p>
    <w:p>
      <w:pPr>
        <w:spacing w:after="0"/>
        <w:rPr>
          <w:sz w:val="20"/>
          <w:szCs w:val="20"/>
          <w:color w:val="auto"/>
        </w:rPr>
      </w:pPr>
      <w:r>
        <w:rPr>
          <w:rFonts w:ascii="Times New Roman" w:cs="Times New Roman" w:eastAsia="Times New Roman" w:hAnsi="Times New Roman"/>
          <w:sz w:val="18"/>
          <w:szCs w:val="18"/>
          <w:color w:val="auto"/>
        </w:rPr>
        <w:t>maintain a continued acceptable safety profile of our products following approval.</w:t>
      </w:r>
    </w:p>
    <w:p>
      <w:pPr>
        <w:spacing w:after="0" w:line="20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51"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The development of pharmaceutical products is capital-intensive. We are currently advancing our precision oncology programs through clinical and preclinical development. We are actively enrolling patients in two Phase 1/2 clinical trials, each</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spacing w:after="0" w:line="256" w:lineRule="auto"/>
        <w:rPr>
          <w:sz w:val="20"/>
          <w:szCs w:val="20"/>
          <w:color w:val="auto"/>
        </w:rPr>
      </w:pPr>
      <w:r>
        <w:rPr>
          <w:rFonts w:ascii="Times New Roman" w:cs="Times New Roman" w:eastAsia="Times New Roman" w:hAnsi="Times New Roman"/>
          <w:sz w:val="18"/>
          <w:szCs w:val="18"/>
          <w:color w:val="auto"/>
        </w:rPr>
        <w:t>of which is evaluating safety and efficacy in multiple indications (and we expect to begin enrollment in the TNG456 Phase 1/2 clinical trial in the first half of 2025). We expect our expenses to significantly increase as we continue to advance and complete clinical trials (including multiple combination clinical trials), and seek regulatory approval for, our product candidates, including in combination with other therapeutics. Further, we continue our research efforts to identify and advance additional precision oncology compounds that may benefit patients. Even though we completed an $80 million private placement in August 2023 and received $41.7 million in net proceeds from our "at-the-market" stock offering program in January 2024, we will still be required to raise substantial additional funding in the future in order to continue to fund our operations and advance our clinical trial programs.</w:t>
      </w:r>
    </w:p>
    <w:p>
      <w:pPr>
        <w:spacing w:after="0" w:line="187"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In addition,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we presently anticipate. Furthermore, we have, and will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87" w:lineRule="exact"/>
        <w:rPr>
          <w:sz w:val="20"/>
          <w:szCs w:val="20"/>
          <w:color w:val="auto"/>
        </w:rPr>
      </w:pPr>
    </w:p>
    <w:p>
      <w:pPr>
        <w:ind w:right="20" w:firstLine="584"/>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on hand as of December 31, 2024 will enable us to fund our operating expenses and capital expenditure requirements at least into the third quarter of 2026. However, our future capital requirements will depend on and could increase significantly as a result of many factors (which may result in exhausting such cash resources prior to the third quarter of 2026), including:</w:t>
      </w:r>
    </w:p>
    <w:p>
      <w:pPr>
        <w:spacing w:after="0" w:line="176" w:lineRule="exact"/>
        <w:rPr>
          <w:sz w:val="20"/>
          <w:szCs w:val="20"/>
          <w:color w:val="auto"/>
        </w:rPr>
      </w:pPr>
    </w:p>
    <w:p>
      <w:pPr>
        <w:ind w:right="80" w:firstLine="230"/>
        <w:spacing w:after="0" w:line="261" w:lineRule="auto"/>
        <w:rPr>
          <w:sz w:val="20"/>
          <w:szCs w:val="20"/>
          <w:color w:val="auto"/>
        </w:rPr>
      </w:pPr>
      <w:r>
        <w:rPr>
          <w:rFonts w:ascii="Times New Roman" w:cs="Times New Roman" w:eastAsia="Times New Roman" w:hAnsi="Times New Roman"/>
          <w:sz w:val="18"/>
          <w:szCs w:val="18"/>
          <w:color w:val="auto"/>
        </w:rPr>
        <w:t>the scope, progress, results and costs of product discovery, preclinical and clinical development, and clinical trials for our product candidates, including recruiting patients for and conducting multiple planned clinical trials;</w:t>
      </w:r>
    </w:p>
    <w:p>
      <w:pPr>
        <w:ind w:right="200" w:firstLine="230"/>
        <w:spacing w:after="0" w:line="250" w:lineRule="auto"/>
        <w:rPr>
          <w:sz w:val="20"/>
          <w:szCs w:val="20"/>
          <w:color w:val="auto"/>
        </w:rPr>
      </w:pPr>
      <w:r>
        <w:rPr>
          <w:rFonts w:ascii="Times New Roman" w:cs="Times New Roman" w:eastAsia="Times New Roman" w:hAnsi="Times New Roman"/>
          <w:sz w:val="18"/>
          <w:szCs w:val="18"/>
          <w:color w:val="auto"/>
        </w:rPr>
        <w:t>the potential additional expenses attributable to adjusting our development plans if needed (including any supply related matters or changes to clinical trial protocols);</w:t>
      </w:r>
    </w:p>
    <w:p>
      <w:pPr>
        <w:ind w:left="240" w:right="5220"/>
        <w:spacing w:after="0" w:line="265" w:lineRule="auto"/>
        <w:rPr>
          <w:sz w:val="20"/>
          <w:szCs w:val="20"/>
          <w:color w:val="auto"/>
        </w:rPr>
      </w:pPr>
      <w:r>
        <w:rPr>
          <w:rFonts w:ascii="Times New Roman" w:cs="Times New Roman" w:eastAsia="Times New Roman" w:hAnsi="Times New Roman"/>
          <w:sz w:val="17"/>
          <w:szCs w:val="17"/>
          <w:color w:val="auto"/>
        </w:rPr>
        <w:t>the scope, prioritization and number of our research and development programs; the costs, timing and outcome of regulatory review of our product candidates;</w:t>
      </w:r>
    </w:p>
    <w:p>
      <w:pPr>
        <w:spacing w:after="0"/>
        <w:rPr>
          <w:sz w:val="20"/>
          <w:szCs w:val="20"/>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9" w:lineRule="exact"/>
        <w:rPr>
          <w:sz w:val="20"/>
          <w:szCs w:val="20"/>
          <w:color w:val="auto"/>
        </w:rPr>
      </w:pPr>
    </w:p>
    <w:p>
      <w:pPr>
        <w:ind w:right="80" w:firstLine="230"/>
        <w:spacing w:after="0" w:line="250" w:lineRule="auto"/>
        <w:rPr>
          <w:sz w:val="20"/>
          <w:szCs w:val="20"/>
          <w:color w:val="auto"/>
        </w:rPr>
      </w:pPr>
      <w:r>
        <w:rPr>
          <w:rFonts w:ascii="Times New Roman" w:cs="Times New Roman" w:eastAsia="Times New Roman" w:hAnsi="Times New Roman"/>
          <w:sz w:val="18"/>
          <w:szCs w:val="18"/>
          <w:color w:val="auto"/>
        </w:rPr>
        <w:t>the achievement of milestones or occurrence of other developments that trigger payments under our existing collaboration agreements or any additional collaboration agreements we may establish;</w:t>
      </w:r>
    </w:p>
    <w:p>
      <w:pPr>
        <w:ind w:right="240" w:firstLine="230"/>
        <w:spacing w:after="0" w:line="250" w:lineRule="auto"/>
        <w:rPr>
          <w:sz w:val="20"/>
          <w:szCs w:val="20"/>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rPr>
          <w:sz w:val="20"/>
          <w:szCs w:val="20"/>
          <w:color w:val="auto"/>
        </w:rPr>
      </w:pPr>
      <w:r>
        <w:rPr>
          <w:rFonts w:ascii="Times New Roman" w:cs="Times New Roman" w:eastAsia="Times New Roman" w:hAnsi="Times New Roman"/>
          <w:sz w:val="18"/>
          <w:szCs w:val="18"/>
          <w:color w:val="auto"/>
        </w:rPr>
        <w:t>the timing of the release of initial, interim, or final clinical trial data for our current or future clinical trials;</w:t>
      </w:r>
    </w:p>
    <w:p>
      <w:pPr>
        <w:spacing w:after="0" w:line="9" w:lineRule="exact"/>
        <w:rPr>
          <w:sz w:val="20"/>
          <w:szCs w:val="20"/>
          <w:color w:val="auto"/>
        </w:rPr>
      </w:pPr>
    </w:p>
    <w:p>
      <w:pPr>
        <w:ind w:left="240" w:right="2440"/>
        <w:spacing w:after="0" w:line="250" w:lineRule="auto"/>
        <w:rPr>
          <w:sz w:val="20"/>
          <w:szCs w:val="20"/>
          <w:color w:val="auto"/>
        </w:rPr>
      </w:pPr>
      <w:r>
        <w:rPr>
          <w:rFonts w:ascii="Times New Roman" w:cs="Times New Roman" w:eastAsia="Times New Roman" w:hAnsi="Times New Roman"/>
          <w:sz w:val="18"/>
          <w:szCs w:val="18"/>
          <w:color w:val="auto"/>
        </w:rPr>
        <w:t>the extent to which we acquire or in-license other product candidates and technologies and make payments thereunder</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the costs of securing manufacturing arrangements for clinical and commercial production;</w:t>
      </w:r>
    </w:p>
    <w:p>
      <w:pPr>
        <w:ind w:right="100" w:firstLine="230"/>
        <w:spacing w:after="0" w:line="250" w:lineRule="auto"/>
        <w:rPr>
          <w:sz w:val="20"/>
          <w:szCs w:val="20"/>
          <w:color w:val="auto"/>
        </w:rPr>
      </w:pPr>
      <w:r>
        <w:rPr>
          <w:rFonts w:ascii="Times New Roman" w:cs="Times New Roman" w:eastAsia="Times New Roman" w:hAnsi="Times New Roman"/>
          <w:sz w:val="18"/>
          <w:szCs w:val="18"/>
          <w:color w:val="auto"/>
        </w:rPr>
        <w:t>the cost of acquiring therapies to be used in combination clinical trials (such as pembrolizumab, an anti-PD-1 antibody that is used in combination with TNG260);</w:t>
      </w:r>
    </w:p>
    <w:p>
      <w:pPr>
        <w:ind w:left="240" w:right="1380"/>
        <w:spacing w:after="0" w:line="250" w:lineRule="auto"/>
        <w:rPr>
          <w:sz w:val="20"/>
          <w:szCs w:val="20"/>
          <w:color w:val="auto"/>
        </w:rPr>
      </w:pPr>
      <w:r>
        <w:rPr>
          <w:rFonts w:ascii="Times New Roman" w:cs="Times New Roman" w:eastAsia="Times New Roman" w:hAnsi="Times New Roman"/>
          <w:sz w:val="18"/>
          <w:szCs w:val="18"/>
          <w:color w:val="auto"/>
        </w:rPr>
        <w:t>our ability to hire and retain skilled scientific and operational personnel to meet our development, clinical and commercial objectives; costs related to the development of any companion diagnostics we may use in the future; and</w:t>
      </w:r>
    </w:p>
    <w:p>
      <w:pPr>
        <w:spacing w:after="0"/>
        <w:rPr>
          <w:sz w:val="20"/>
          <w:szCs w:val="20"/>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product candidates.</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commercial revenue, if any, will be derived from sales of products that we do not expect to be commercially available for many years, if at 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will need to continue to rely on additional financing and/or collaboration agreements to fund our business objectives.</w:t>
      </w:r>
    </w:p>
    <w:p>
      <w:pPr>
        <w:spacing w:after="0" w:line="207" w:lineRule="exact"/>
        <w:rPr>
          <w:sz w:val="20"/>
          <w:szCs w:val="20"/>
          <w:color w:val="auto"/>
        </w:rPr>
      </w:pPr>
    </w:p>
    <w:p>
      <w:pPr>
        <w:ind w:right="40" w:firstLine="576"/>
        <w:spacing w:after="0" w:line="266" w:lineRule="auto"/>
        <w:rPr>
          <w:sz w:val="20"/>
          <w:szCs w:val="20"/>
          <w:color w:val="auto"/>
        </w:rPr>
      </w:pPr>
      <w:r>
        <w:rPr>
          <w:rFonts w:ascii="Times New Roman" w:cs="Times New Roman" w:eastAsia="Times New Roman" w:hAnsi="Times New Roman"/>
          <w:sz w:val="18"/>
          <w:szCs w:val="18"/>
          <w:color w:val="auto"/>
        </w:rPr>
        <w:t>As a result of disruptions in the financial markets in general, and the challenges facing biopharmaceutical stock prices and market capitalizations in recent years in particular, equity and debt financing may be more difficult to obtain and may have a material adverse effect on our ability to meet our fundraising needs. We cannot guarantee that future financing will be available in sufficient amounts or on terms acceptable to us, if at all.</w:t>
      </w:r>
    </w:p>
    <w:p>
      <w:pPr>
        <w:spacing w:after="0" w:line="176" w:lineRule="exact"/>
        <w:rPr>
          <w:sz w:val="20"/>
          <w:szCs w:val="20"/>
          <w:color w:val="auto"/>
        </w:rPr>
      </w:pPr>
    </w:p>
    <w:p>
      <w:pPr>
        <w:ind w:right="80" w:firstLine="576"/>
        <w:spacing w:after="0" w:line="261"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one or a combination of private and public equity offerings (such as the private placement of our common stock in August 2023 and sales of common stock under an "at-the-market" stock offering program in January 2024), debt financings, collaborations, strategic alliances 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the ownership interest of our existing common stockholders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repurchase shares of our common stock,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187" w:lineRule="exact"/>
        <w:rPr>
          <w:sz w:val="20"/>
          <w:szCs w:val="20"/>
          <w:color w:val="auto"/>
        </w:rPr>
      </w:pPr>
    </w:p>
    <w:p>
      <w:pPr>
        <w:ind w:right="60" w:firstLine="576"/>
        <w:spacing w:after="0" w:line="258" w:lineRule="auto"/>
        <w:rPr>
          <w:sz w:val="20"/>
          <w:szCs w:val="20"/>
          <w:color w:val="auto"/>
        </w:rPr>
      </w:pPr>
      <w:r>
        <w:rPr>
          <w:rFonts w:ascii="Times New Roman" w:cs="Times New Roman" w:eastAsia="Times New Roman" w:hAnsi="Times New Roman"/>
          <w:sz w:val="18"/>
          <w:szCs w:val="18"/>
          <w:color w:val="auto"/>
        </w:rPr>
        <w:t>We also could be required to seek funds through arrangements with additional collaborators or otherwise at an earlier stage than otherwise would be desirable. If we raise funds through additional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our product candidates that we would otherwise prefer to develop and market ourselves, any of which may have a material adverse effect on our business, operating results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Precision Oncology and Other Programs and Product Candidates</w:t>
      </w:r>
    </w:p>
    <w:p>
      <w:pPr>
        <w:spacing w:after="0" w:line="225"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51" w:lineRule="exact"/>
        <w:rPr>
          <w:sz w:val="20"/>
          <w:szCs w:val="20"/>
          <w:color w:val="auto"/>
        </w:rPr>
      </w:pPr>
    </w:p>
    <w:p>
      <w:pPr>
        <w:ind w:right="20" w:firstLine="576"/>
        <w:spacing w:after="0" w:line="252" w:lineRule="auto"/>
        <w:rPr>
          <w:sz w:val="20"/>
          <w:szCs w:val="20"/>
          <w:color w:val="auto"/>
        </w:rPr>
      </w:pPr>
      <w:r>
        <w:rPr>
          <w:rFonts w:ascii="Times New Roman" w:cs="Times New Roman" w:eastAsia="Times New Roman" w:hAnsi="Times New Roman"/>
          <w:sz w:val="18"/>
          <w:szCs w:val="18"/>
          <w:color w:val="auto"/>
        </w:rPr>
        <w:t>We have not yet demonstrated our ability to complete clinical trials, including large-scale, pivotal clinical trials, obtain regulatory approvals, manufacture a commercial scale product or arrange for a third party to do so on our behalf, or conduct sales and marketing activities necessary for successful commercialization. Although we have received FDA clearance of five IND applications (TNG908, TNG462, TNG260, TNG348, and TNG456), we have since discontinued development of TNG348 and TNG908. We may not be able to file any future INDs for any of our other product candidates on the timelines we expect, if at all. Further, timelines for developing and filing INDs are subject to significant uncertainties and projected timelines can be delayed. Moreover, we cannot be sure that submission of an IND will result in the FDA allowing clinical trials to begin, or that, once begun, issues will not arise that require us to suspend or terminate clinical trials.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imposition of stricter approval conditions than we currently expect. Successful completion of our clinical trials is a prerequisite to submitting an NDA to the FDA, a Marketing Authorization Application, or MAA, to the European Medicines Agency, or EMA, or other marketing applications to regulatory authorities in other jurisdictions, for each product candidate and, consequently, the regulatory approval of each product candidate. While the INDs for TNG908, TNG462, TNG260, TNG348, and TNG456 were cleared by the FDA, such clearance does not ensure that an adequate number of patients will be enrolled on a timely basis, or at all or that the clinical trials will be completed on time, or at all. For example, in May 2024, we announced that we were discontinuing development of our TNG348 program due to liver toxicity observed in the dose escalation portion of our Phase 1/2 clinical trial, and in November 2024, we announced that we were discontinuing development of TNG908 to fully resource TNG462 and TNG456 development.</w:t>
      </w:r>
    </w:p>
    <w:p>
      <w:pPr>
        <w:spacing w:after="0" w:line="141" w:lineRule="exact"/>
        <w:rPr>
          <w:sz w:val="20"/>
          <w:szCs w:val="20"/>
          <w:color w:val="auto"/>
        </w:rPr>
      </w:pPr>
    </w:p>
    <w:p>
      <w:pPr>
        <w:ind w:firstLine="585"/>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preclinical studies or clinical trials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and/or efficacy concerns, we may, among other things:</w:t>
      </w:r>
    </w:p>
    <w:p>
      <w:pPr>
        <w:spacing w:after="0" w:line="68" w:lineRule="exact"/>
        <w:rPr>
          <w:sz w:val="20"/>
          <w:szCs w:val="20"/>
          <w:color w:val="auto"/>
        </w:rPr>
      </w:pPr>
    </w:p>
    <w:p>
      <w:pPr>
        <w:ind w:left="240" w:right="5060"/>
        <w:spacing w:after="0" w:line="261" w:lineRule="auto"/>
        <w:rPr>
          <w:sz w:val="20"/>
          <w:szCs w:val="20"/>
          <w:color w:val="auto"/>
        </w:rPr>
      </w:pPr>
      <w:r>
        <w:rPr>
          <w:rFonts w:ascii="Times New Roman" w:cs="Times New Roman" w:eastAsia="Times New Roman" w:hAnsi="Times New Roman"/>
          <w:sz w:val="18"/>
          <w:szCs w:val="18"/>
          <w:color w:val="auto"/>
        </w:rPr>
        <w:t>be delayed in seeking or obtaining regulatory approval for our product candidates; not obtain regulatory approval at all;</w:t>
      </w:r>
    </w:p>
    <w:p>
      <w:pPr>
        <w:spacing w:after="0"/>
        <w:rPr>
          <w:sz w:val="20"/>
          <w:szCs w:val="20"/>
          <w:color w:val="auto"/>
        </w:rPr>
      </w:pPr>
      <w:r>
        <w:rPr>
          <w:rFonts w:ascii="Times New Roman" w:cs="Times New Roman" w:eastAsia="Times New Roman" w:hAnsi="Times New Roman"/>
          <w:sz w:val="18"/>
          <w:szCs w:val="18"/>
          <w:color w:val="auto"/>
        </w:rPr>
        <w:t>obtain regulatory approval for indications or patient populations that are not as broad as intended or desired;</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be subject to post-marketing testing requirements;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the product removed from the market after obtaining regulatory approval.</w:t>
      </w:r>
    </w:p>
    <w:p>
      <w:pPr>
        <w:spacing w:after="0" w:line="20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67"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The discovery and development of oncology therapeutics for patients with genetically defined or biomarker-driven cancers is a rapidly evolving area, and the scientific discoveries that form the basis for our efforts to discover and develop product candidates are relatively new. Our proprietary functional genomics discovery approach is based on the genetic concept of synthetic lethality. The scientific evidence to support the feasibility of developing product candidates based on these discoveries is both preliminary and limited. Although we believe, based on our preclinical work, that the genetic markers targeted by our programs drive the formation and spread of certain cancers,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with specific targets, we cannot be certain that the resulting patient populations with each mutation will be as large as we anticipate, large enough to allow us to successfully obtain approval for each such mutation and commercialize our product candidates and achieve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product development involves a lengthy and expensive process, with an uncertain outcome.</w:t>
      </w:r>
    </w:p>
    <w:p>
      <w:pPr>
        <w:spacing w:after="0" w:line="121" w:lineRule="exact"/>
        <w:rPr>
          <w:sz w:val="20"/>
          <w:szCs w:val="20"/>
          <w:color w:val="auto"/>
        </w:rPr>
      </w:pPr>
    </w:p>
    <w:p>
      <w:pPr>
        <w:ind w:firstLine="576"/>
        <w:spacing w:after="0" w:line="270" w:lineRule="auto"/>
        <w:rPr>
          <w:sz w:val="20"/>
          <w:szCs w:val="20"/>
          <w:color w:val="auto"/>
        </w:rPr>
      </w:pPr>
      <w:r>
        <w:rPr>
          <w:rFonts w:ascii="Times New Roman" w:cs="Times New Roman" w:eastAsia="Times New Roman" w:hAnsi="Times New Roman"/>
          <w:sz w:val="17"/>
          <w:szCs w:val="17"/>
          <w:color w:val="auto"/>
        </w:rPr>
        <w:t>Our preclinical studies, our ongoing clinical trials and future clinical trials may not be successful.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in humans. Clinical testing is expensive, difficult to design and implement, can take many years to complete and outcomes are uncertain. A failure of one or more clinical trials can occur at any stage of testing. For example, in May 2024, we announced that we were discontinuing development of our TNG348 program due to liver toxicity observed in the dose escalation portion of our Phase 1/2 clinical trial. The outcome of preclinical development testing and early clinical trials may not be predictive of the success of later clinical trials, and interim or preliminary results of a clinical trial do not necessarily predict final results (or be indicative of safety and efficacy if commercialized and used in a broader population).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w:t>
      </w:r>
    </w:p>
    <w:p>
      <w:pPr>
        <w:spacing w:after="0" w:line="6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third parties are unable to successfully develop screening technology for biomarkers that enable patient selection and/or target engagement, or experience significant delays in doing so, we may be unable to commercialize our product candidates or we may not realize the full commercial potential of our product candidates.</w:t>
      </w:r>
    </w:p>
    <w:p>
      <w:pPr>
        <w:spacing w:after="0" w:line="6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A key component of our strategy includes the use of biomarker testing to guide patient selection for our product candidates and/or target engagement for our product candidates. We rely on third-parties to provide this technology. It is not always the case, however, that the biomarker we have identified for patient selection and/or target engagement is included in a commercially available test offered by biomarker testing providers. If not already commercially available, we may collaborate with biomarker assay development companies for the development of biomarkers associated with our product candidates. We may have difficulty in establishing or maintaining such development relationships, and we will face competition from other companies in establishing these collaborations.</w:t>
      </w:r>
    </w:p>
    <w:p>
      <w:pPr>
        <w:spacing w:after="0" w:line="7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There are also several risks associated with biomarker identification and validation. We, in collaboration with any diagnostic partners, may not be able to identify predictive pharmacodynamic biomarkers for one or more of our programs. We may not be able to validate potential biomarkers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certain genetic mutations) or their functional relevance in relevant in vitro or in vivo models. Data analytics and information from databases that we rely on for identifying or validating some of our biomarker-target relationships may not accurately reflect potential patient populations. Potential biomarkers, even if validated preclinically, may not be functionally effective or validated in human clinical trials.</w:t>
      </w:r>
    </w:p>
    <w:p>
      <w:pPr>
        <w:spacing w:after="0" w:line="75"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If biomarker assay development companies experience any delays developing and launching the biomarkers we have identified for patient selection and/or target engagement, our clinical trials may be delayed or may not identify sufficient</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patients to complete the trial and our clinical trials may be unsuccessful and our therapies will not advance to approval.</w:t>
      </w:r>
    </w:p>
    <w:p>
      <w:pPr>
        <w:spacing w:after="0" w:line="329"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validate, develop and obtain regulatory approval for diagnostic tests for our product candidates that require or would commercially benefit from such tests, or experience significant delays in doing so, we may not realize the full commercial potential of these product candidates.</w:t>
      </w:r>
    </w:p>
    <w:p>
      <w:pPr>
        <w:spacing w:after="0" w:line="67" w:lineRule="exact"/>
        <w:rPr>
          <w:sz w:val="20"/>
          <w:szCs w:val="20"/>
          <w:color w:val="auto"/>
        </w:rPr>
      </w:pPr>
    </w:p>
    <w:p>
      <w:pPr>
        <w:ind w:right="60" w:firstLine="576"/>
        <w:spacing w:after="0" w:line="254" w:lineRule="auto"/>
        <w:rPr>
          <w:sz w:val="20"/>
          <w:szCs w:val="20"/>
          <w:color w:val="auto"/>
        </w:rPr>
      </w:pPr>
      <w:r>
        <w:rPr>
          <w:rFonts w:ascii="Times New Roman" w:cs="Times New Roman" w:eastAsia="Times New Roman" w:hAnsi="Times New Roman"/>
          <w:sz w:val="18"/>
          <w:szCs w:val="18"/>
          <w:color w:val="auto"/>
        </w:rPr>
        <w:t>In connection with the clinical development of our product candidates for certain indications, we may engage third parties to develop or otherwise obtain access to in vitro companion diagnostic tests to identify patient subsets within a disease category who may derive selective and meaningful benefit from our product candidates. Such companion diagnostics may be used during our clinical trials as well as in connection with the commercialization of our products that receive regulatory approval. To be successful, we or our collaborators will need to address a number of scientific, technical, regulatory and logistical challenges in connection with such diagnostic tests. The FDA and comparable foreign regulatory authorities regulate in vitro companion diagnostics as medical devices and, under that regulatory framework, will likely require the conduct of clinical trials to demonstrate the safety and effectiveness of any diagnostics we or third parties may develop, which we expect will require separate regulatory clearance or approval prior to commercialization.</w:t>
      </w:r>
    </w:p>
    <w:p>
      <w:pPr>
        <w:spacing w:after="0" w:line="192"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We intend to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We must characterize the selectivity, specificity, sensitivity, reproducibility, analytical validation, and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clearance or approval for, manufacturing and commercializing companion diagnostics similar to those we face with respect to our therapeutic product candidates themselves, including issues with achieving regulatory clearance or approval, production of sufficient quantities at commercial scale and with appropriate quality standards, and in gaining market acceptance. If we (or any third party we may engage) are unable to successfully develop companion diagnostics for these therapeutic product candidates, or experience delays in doing so, the development and commercialization of these therapeutic product candidates may be adversely affected, these therapeutic product candidates may not obtain regulatory approval, and we may not realize the full commercial potential of any of these therapeutic products that obtain regulatory approval.</w:t>
      </w:r>
    </w:p>
    <w:p>
      <w:pPr>
        <w:spacing w:after="0" w:line="18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Initial, interim and top-line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51"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initial, interim or top-line data from our current and future clinical trials, which is based on a preliminary analysis of then-available data, and the results and related findings and conclusions are subject to change following a more comprehensive review of the data, including audit and verification procedures, and as results from additional clinical trial participants become available and trial participants spend additional time on therapy. For example, we may report responses in certain patients that are unconfirmed at the time and which do not ultimately result in confirmed responses to treatment after follow-up evaluations. We may also make assumptions, estimations, calculations and conclusions as part of our analyses of data, and we may not have received or had the opportunity to fully and carefully evaluate all data. As a result, initial, interim and top-line data should be viewed with caution until the final data are available and fully analyzed. In addition, we may report interim analyses of only certain endpoints rather than all endpoints in a clinical trial. Interim data from clinical trials that we may complete are subject to the risk that one or more of the clinical outcomes may materially change as patient enrollment continues and more patient data become available. Adverse differences between initial or interim data and final data could significantly harm our business prospects and may cause the price of our common stock to fluctuate or decline (and we may be subject to securities litigation that can be costly and time-consuming).</w:t>
      </w:r>
    </w:p>
    <w:p>
      <w:pPr>
        <w:spacing w:after="0" w:line="192" w:lineRule="exact"/>
        <w:rPr>
          <w:sz w:val="20"/>
          <w:szCs w:val="20"/>
          <w:color w:val="auto"/>
        </w:rPr>
      </w:pPr>
    </w:p>
    <w:p>
      <w:pPr>
        <w:ind w:right="220" w:firstLine="576"/>
        <w:spacing w:after="0" w:line="258" w:lineRule="auto"/>
        <w:rPr>
          <w:sz w:val="20"/>
          <w:szCs w:val="20"/>
          <w:color w:val="auto"/>
        </w:rPr>
      </w:pPr>
      <w:r>
        <w:rPr>
          <w:rFonts w:ascii="Times New Roman" w:cs="Times New Roman" w:eastAsia="Times New Roman" w:hAnsi="Times New Roman"/>
          <w:sz w:val="18"/>
          <w:szCs w:val="18"/>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the scope of product label, and commercialization of any approved product.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183" w:lineRule="exact"/>
        <w:rPr>
          <w:sz w:val="20"/>
          <w:szCs w:val="20"/>
          <w:color w:val="auto"/>
        </w:rPr>
      </w:pPr>
    </w:p>
    <w:p>
      <w:pPr>
        <w:ind w:right="320" w:firstLine="576"/>
        <w:spacing w:after="0" w:line="282" w:lineRule="auto"/>
        <w:rPr>
          <w:sz w:val="20"/>
          <w:szCs w:val="20"/>
          <w:color w:val="auto"/>
        </w:rPr>
      </w:pPr>
      <w:r>
        <w:rPr>
          <w:rFonts w:ascii="Times New Roman" w:cs="Times New Roman" w:eastAsia="Times New Roman" w:hAnsi="Times New Roman"/>
          <w:sz w:val="18"/>
          <w:szCs w:val="18"/>
          <w:color w:val="auto"/>
        </w:rPr>
        <w:t>We may from time to time indicate the intent to publicly disclose certain clinical trial data at a future date. We have, for example, noted that we will provide a clinical update on the TNG462 clinical trial and clinical data on the TNG260 clinical</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spacing w:after="0" w:line="261" w:lineRule="auto"/>
        <w:rPr>
          <w:sz w:val="20"/>
          <w:szCs w:val="20"/>
          <w:color w:val="auto"/>
        </w:rPr>
      </w:pPr>
      <w:r>
        <w:rPr>
          <w:rFonts w:ascii="Times New Roman" w:cs="Times New Roman" w:eastAsia="Times New Roman" w:hAnsi="Times New Roman"/>
          <w:sz w:val="18"/>
          <w:szCs w:val="18"/>
          <w:color w:val="auto"/>
        </w:rPr>
        <w:t xml:space="preserve">trial in 2025. Due to the factors described above, and elsewhere in these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we may be unable to report data on or before the time indicated to investors, we may not have the data to provide the information indicative of safety or efficacy, the data may not be sufficiently mature or the number of patients with a specific histology may be inadequate to draw conclusions about the effectiveness of the therapy, and even if we do provide such clinical trial data, the final results from that phase of the clinical trial may be different from what we disclose initially.</w:t>
      </w:r>
    </w:p>
    <w:p>
      <w:pPr>
        <w:spacing w:after="0" w:line="182" w:lineRule="exact"/>
        <w:rPr>
          <w:sz w:val="20"/>
          <w:szCs w:val="20"/>
          <w:color w:val="auto"/>
        </w:rPr>
      </w:pPr>
    </w:p>
    <w:p>
      <w:pPr>
        <w:ind w:right="60" w:firstLine="576"/>
        <w:spacing w:after="0" w:line="266" w:lineRule="auto"/>
        <w:rPr>
          <w:sz w:val="20"/>
          <w:szCs w:val="20"/>
          <w:color w:val="auto"/>
        </w:rPr>
      </w:pPr>
      <w:r>
        <w:rPr>
          <w:rFonts w:ascii="Times New Roman" w:cs="Times New Roman" w:eastAsia="Times New Roman" w:hAnsi="Times New Roman"/>
          <w:sz w:val="18"/>
          <w:szCs w:val="18"/>
          <w:color w:val="auto"/>
        </w:rPr>
        <w:t>If the initial, interim or top-line data that we report differ from final or actual results, or if others, including regulatory authorities, disagree with the conclusions reached, our ability to obtain approval for, and commercialize, our product candidates may be significantly impaired, which could materially harm our business, operating results, prospects or financial condition.</w:t>
      </w:r>
    </w:p>
    <w:p>
      <w:pPr>
        <w:spacing w:after="0" w:line="176" w:lineRule="exact"/>
        <w:rPr>
          <w:sz w:val="20"/>
          <w:szCs w:val="20"/>
          <w:color w:val="auto"/>
        </w:rPr>
      </w:pPr>
    </w:p>
    <w:p>
      <w:pPr>
        <w:ind w:right="100" w:firstLine="576"/>
        <w:spacing w:after="0" w:line="282" w:lineRule="auto"/>
        <w:rPr>
          <w:sz w:val="20"/>
          <w:szCs w:val="20"/>
          <w:color w:val="auto"/>
        </w:rPr>
      </w:pPr>
      <w:r>
        <w:rPr>
          <w:rFonts w:ascii="Times New Roman" w:cs="Times New Roman" w:eastAsia="Times New Roman" w:hAnsi="Times New Roman"/>
          <w:sz w:val="18"/>
          <w:szCs w:val="18"/>
          <w:color w:val="auto"/>
        </w:rPr>
        <w:t>Finally, even if the data provided from the clinical trial is favorable with respect to safety and efficacy, such data may not meet the expectations of our investors and our stock price may decline (and such decline may be material).</w:t>
      </w:r>
    </w:p>
    <w:p>
      <w:pPr>
        <w:spacing w:after="0" w:line="158" w:lineRule="exact"/>
        <w:rPr>
          <w:sz w:val="20"/>
          <w:szCs w:val="20"/>
          <w:color w:val="auto"/>
        </w:rPr>
      </w:pPr>
    </w:p>
    <w:p>
      <w:pPr>
        <w:ind w:right="1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51"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 the following:</w:t>
      </w:r>
    </w:p>
    <w:p>
      <w:pPr>
        <w:spacing w:after="0" w:line="75" w:lineRule="exact"/>
        <w:rPr>
          <w:sz w:val="20"/>
          <w:szCs w:val="20"/>
          <w:color w:val="auto"/>
        </w:rPr>
      </w:pPr>
    </w:p>
    <w:p>
      <w:pPr>
        <w:ind w:right="20" w:firstLine="230"/>
        <w:spacing w:after="0" w:line="261" w:lineRule="auto"/>
        <w:rPr>
          <w:sz w:val="20"/>
          <w:szCs w:val="20"/>
          <w:color w:val="auto"/>
        </w:rPr>
      </w:pPr>
      <w:r>
        <w:rPr>
          <w:rFonts w:ascii="Times New Roman" w:cs="Times New Roman" w:eastAsia="Times New Roman" w:hAnsi="Times New Roman"/>
          <w:sz w:val="18"/>
          <w:szCs w:val="18"/>
          <w:color w:val="auto"/>
        </w:rPr>
        <w:t>we may receive feedback from regulatory authorities that require us to modify the design or implementation of our preclinical studies or clinical trials or to delay or terminate a clinical trial;</w:t>
      </w:r>
    </w:p>
    <w:p>
      <w:pPr>
        <w:ind w:right="80" w:firstLine="230"/>
        <w:spacing w:after="0" w:line="250" w:lineRule="auto"/>
        <w:rPr>
          <w:sz w:val="20"/>
          <w:szCs w:val="20"/>
          <w:color w:val="auto"/>
        </w:rPr>
      </w:pPr>
      <w:r>
        <w:rPr>
          <w:rFonts w:ascii="Times New Roman" w:cs="Times New Roman" w:eastAsia="Times New Roman" w:hAnsi="Times New Roman"/>
          <w:sz w:val="18"/>
          <w:szCs w:val="18"/>
          <w:color w:val="auto"/>
        </w:rPr>
        <w:t>regulators, IRBs, or ethics committees may delay or may not authorize us or our investigators to commence a clinical trial or conduct a clinical trial at a prospective trial site;</w:t>
      </w:r>
    </w:p>
    <w:p>
      <w:pPr>
        <w:ind w:right="120" w:firstLine="230"/>
        <w:spacing w:after="0" w:line="250" w:lineRule="auto"/>
        <w:rPr>
          <w:sz w:val="20"/>
          <w:szCs w:val="20"/>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CROs to conduct our trials, the terms of which can be subject to extensive negotiation and may vary significantly among different trial sites and CROs;</w:t>
      </w:r>
    </w:p>
    <w:p>
      <w:pPr>
        <w:jc w:val="both"/>
        <w:ind w:right="160" w:firstLine="230"/>
        <w:spacing w:after="0" w:line="250" w:lineRule="auto"/>
        <w:rPr>
          <w:sz w:val="20"/>
          <w:szCs w:val="20"/>
          <w:color w:val="auto"/>
        </w:rPr>
      </w:pPr>
      <w:r>
        <w:rPr>
          <w:rFonts w:ascii="Times New Roman" w:cs="Times New Roman" w:eastAsia="Times New Roman" w:hAnsi="Times New Roman"/>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1" w:lineRule="exact"/>
        <w:rPr>
          <w:sz w:val="20"/>
          <w:szCs w:val="20"/>
          <w:color w:val="auto"/>
        </w:rPr>
      </w:pPr>
    </w:p>
    <w:p>
      <w:pPr>
        <w:ind w:right="560" w:firstLine="230"/>
        <w:spacing w:after="0" w:line="250" w:lineRule="auto"/>
        <w:rPr>
          <w:sz w:val="20"/>
          <w:szCs w:val="20"/>
          <w:color w:val="auto"/>
        </w:rPr>
      </w:pPr>
      <w:r>
        <w:rPr>
          <w:rFonts w:ascii="Times New Roman" w:cs="Times New Roman" w:eastAsia="Times New Roman" w:hAnsi="Times New Roman"/>
          <w:sz w:val="18"/>
          <w:szCs w:val="18"/>
          <w:color w:val="auto"/>
        </w:rPr>
        <w:t>preclinical studies or clinical trials of our product candidates may not produce differentiated or clinically significant results across tumor types or indications;</w:t>
      </w:r>
    </w:p>
    <w:p>
      <w:pPr>
        <w:ind w:right="220" w:firstLine="230"/>
        <w:spacing w:after="0" w:line="250" w:lineRule="auto"/>
        <w:rPr>
          <w:sz w:val="20"/>
          <w:szCs w:val="20"/>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we may fail to enroll patients with certain cancer indications, such as pancreatic and lung cancer, that we are focusing on in connection with TNG462 (and GBM, which is our focus for TNG456), or participants may drop out of these clinical trials or fail to return for post-treatment follow-up at a higher rate than we anticipate;</w:t>
      </w:r>
    </w:p>
    <w:p>
      <w:pPr>
        <w:spacing w:after="0" w:line="1" w:lineRule="exact"/>
        <w:rPr>
          <w:sz w:val="20"/>
          <w:szCs w:val="20"/>
          <w:color w:val="auto"/>
        </w:rPr>
      </w:pPr>
    </w:p>
    <w:p>
      <w:pPr>
        <w:ind w:right="40" w:firstLine="230"/>
        <w:spacing w:after="0" w:line="250" w:lineRule="auto"/>
        <w:rPr>
          <w:sz w:val="20"/>
          <w:szCs w:val="20"/>
          <w:color w:val="auto"/>
        </w:rPr>
      </w:pPr>
      <w:r>
        <w:rPr>
          <w:rFonts w:ascii="Times New Roman" w:cs="Times New Roman" w:eastAsia="Times New Roman" w:hAnsi="Times New Roman"/>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w:t>
      </w:r>
    </w:p>
    <w:p>
      <w:pPr>
        <w:spacing w:after="0" w:line="1" w:lineRule="exact"/>
        <w:rPr>
          <w:sz w:val="20"/>
          <w:szCs w:val="20"/>
          <w:color w:val="auto"/>
        </w:rPr>
      </w:pPr>
    </w:p>
    <w:p>
      <w:pPr>
        <w:ind w:right="40" w:firstLine="185"/>
        <w:spacing w:after="0" w:line="250" w:lineRule="auto"/>
        <w:rPr>
          <w:sz w:val="20"/>
          <w:szCs w:val="20"/>
          <w:color w:val="auto"/>
        </w:rPr>
      </w:pPr>
      <w:r>
        <w:rPr>
          <w:rFonts w:ascii="Times New Roman" w:cs="Times New Roman" w:eastAsia="Times New Roman" w:hAnsi="Times New Roman"/>
          <w:sz w:val="18"/>
          <w:szCs w:val="18"/>
          <w:color w:val="auto"/>
        </w:rPr>
        <w:t>our clinical trial sites or investigators may deviate from the clinical trial protocol or drop out of the trial, which may require that we add new clinical trial sites or investigators in order to ensure our trials generate statistically significant results;</w:t>
      </w:r>
    </w:p>
    <w:p>
      <w:pPr>
        <w:ind w:right="340" w:firstLine="230"/>
        <w:spacing w:after="0" w:line="250" w:lineRule="auto"/>
        <w:rPr>
          <w:sz w:val="20"/>
          <w:szCs w:val="20"/>
          <w:color w:val="auto"/>
        </w:rPr>
      </w:pPr>
      <w:r>
        <w:rPr>
          <w:rFonts w:ascii="Times New Roman" w:cs="Times New Roman" w:eastAsia="Times New Roman" w:hAnsi="Times New Roman"/>
          <w:sz w:val="18"/>
          <w:szCs w:val="18"/>
          <w:color w:val="auto"/>
        </w:rPr>
        <w:t>we may elect to, or regulators,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9" w:lineRule="exact"/>
        <w:rPr>
          <w:sz w:val="20"/>
          <w:szCs w:val="20"/>
          <w:color w:val="auto"/>
        </w:rPr>
      </w:pPr>
    </w:p>
    <w:p>
      <w:pPr>
        <w:ind w:right="300" w:firstLine="230"/>
        <w:spacing w:after="0" w:line="250" w:lineRule="auto"/>
        <w:rPr>
          <w:sz w:val="20"/>
          <w:szCs w:val="20"/>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ind w:right="340" w:firstLine="230"/>
        <w:spacing w:after="0" w:line="250" w:lineRule="auto"/>
        <w:rPr>
          <w:sz w:val="20"/>
          <w:szCs w:val="20"/>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 and</w:t>
      </w:r>
    </w:p>
    <w:p>
      <w:pPr>
        <w:spacing w:after="0" w:line="9" w:lineRule="exact"/>
        <w:rPr>
          <w:sz w:val="20"/>
          <w:szCs w:val="20"/>
          <w:color w:val="auto"/>
        </w:rPr>
      </w:pPr>
    </w:p>
    <w:p>
      <w:pPr>
        <w:ind w:right="300" w:firstLine="230"/>
        <w:spacing w:after="0" w:line="260" w:lineRule="auto"/>
        <w:rPr>
          <w:sz w:val="20"/>
          <w:szCs w:val="20"/>
          <w:color w:val="auto"/>
        </w:rPr>
      </w:pPr>
      <w:r>
        <w:rPr>
          <w:rFonts w:ascii="Times New Roman" w:cs="Times New Roman" w:eastAsia="Times New Roman" w:hAnsi="Times New Roman"/>
          <w:sz w:val="18"/>
          <w:szCs w:val="18"/>
          <w:color w:val="auto"/>
        </w:rPr>
        <w:t>regulatory developments with respect to our competitors’ products, including any developments, litigation or public concern about the safety of such products.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44" w:name="page45"/>
    <w:bookmarkEnd w:id="44"/>
    <w:p>
      <w:pPr>
        <w:ind w:right="80" w:firstLine="576"/>
        <w:spacing w:after="0" w:line="254"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at which such trials are being conducted, by the Data Safety Monitoring Board, or DSMB,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88" w:lineRule="exact"/>
        <w:rPr>
          <w:sz w:val="20"/>
          <w:szCs w:val="20"/>
          <w:color w:val="auto"/>
        </w:rPr>
      </w:pPr>
    </w:p>
    <w:p>
      <w:pPr>
        <w:ind w:right="40" w:firstLine="576"/>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current or future clinical trials have, and in the future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89" w:lineRule="exact"/>
        <w:rPr>
          <w:sz w:val="20"/>
          <w:szCs w:val="20"/>
          <w:color w:val="auto"/>
        </w:rPr>
      </w:pPr>
    </w:p>
    <w:p>
      <w:pPr>
        <w:ind w:right="240" w:firstLine="576"/>
        <w:spacing w:after="0" w:line="258"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We may not be able to initiate, continue or complete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genetic mutations for the development of our precision oncology programs and because some of the indications we are pursuing, including pancreatic cancer in connection with TNG462 and GBM in connection with TNG456, are orphan indications that have small populations, our ability to enroll eligible patients may be limited or may result in slower enrollment than we anticipate. We also may experience slower enrollment as a result of limited trial populations due to clinical trials run by us or our competitors or other factors beyond our control. Delays in enrollment may affect the timing of any results or data announcements from our trials (as well as the timing for dose escalation and dose expansion) and therefore the regulatory approval (if any) for any of our product candidates may extend beyond the period we have targeted or beyond the timeline expected by investors.</w:t>
      </w:r>
    </w:p>
    <w:p>
      <w:pPr>
        <w:spacing w:after="0" w:line="188" w:lineRule="exact"/>
        <w:rPr>
          <w:sz w:val="20"/>
          <w:szCs w:val="20"/>
          <w:color w:val="auto"/>
        </w:rPr>
      </w:pPr>
    </w:p>
    <w:p>
      <w:pPr>
        <w:ind w:right="200" w:firstLine="576"/>
        <w:spacing w:after="0" w:line="261" w:lineRule="auto"/>
        <w:rPr>
          <w:sz w:val="20"/>
          <w:szCs w:val="20"/>
          <w:color w:val="auto"/>
        </w:rPr>
      </w:pPr>
      <w:r>
        <w:rPr>
          <w:rFonts w:ascii="Times New Roman" w:cs="Times New Roman" w:eastAsia="Times New Roman" w:hAnsi="Times New Roman"/>
          <w:sz w:val="18"/>
          <w:szCs w:val="18"/>
          <w:color w:val="auto"/>
        </w:rPr>
        <w:t>The patient eligibility criteria defined in our trial protocols, including biomarker-driven identification or the number of prior treatment lines, may limit the patient populations eligible for our clinical trials to a greater extent than competing clinical trials for the same indication that do not have biomarker-driven patient eligibility criteria. We also rely on the willingness and ability of clinicians to screen their patients for biomarkers to indicate which patients may be eligible for enrollment in our clinical trials.</w:t>
      </w:r>
    </w:p>
    <w:p>
      <w:pPr>
        <w:spacing w:after="0" w:line="180"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In addition, some of our competitors have ongoing clinical trials for product candidates that aim to treat the same indications as our product candidates, and patients who would otherwise be eligible for our clinical trials may choose instead to enroll in clinical trials of our competitors’ product candidates (for example, multiple INDs for other companies have been cleared by the FDA for clinical trials of MTA-cooperative PRMT5 inhibitors for the treatment of cancer patients, and such trials have already enrolled patients and those trials are using some of the same clinical trial sites that we use). Further, the target patient population eligible for the TNG462 and TNG456 clinical trials overlap. In particular, each of these clinical trials has arms that are expected to aim to enroll patients with lung cancer. As a result, our own trials may compete to enroll patients among a limited population and thus each of our own trials may experience delays or limited enrollment or we may be compelled to explore enrollment in new countries to gain access to an expanded patient population.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5" w:name="page46"/>
    <w:bookmarkEnd w:id="45"/>
    <w:p>
      <w:pPr>
        <w:ind w:right="220" w:firstLine="576"/>
        <w:spacing w:after="0" w:line="254" w:lineRule="auto"/>
        <w:rPr>
          <w:sz w:val="20"/>
          <w:szCs w:val="20"/>
          <w:color w:val="auto"/>
        </w:rPr>
      </w:pPr>
      <w:r>
        <w:rPr>
          <w:rFonts w:ascii="Times New Roman" w:cs="Times New Roman" w:eastAsia="Times New Roman" w:hAnsi="Times New Roman"/>
          <w:sz w:val="18"/>
          <w:szCs w:val="18"/>
          <w:color w:val="auto"/>
        </w:rPr>
        <w:t>In addition to the competitive clinical trial environment, the eligibility criteria of our clinical trials will further limit the pool of available study participants as we will require that patients have specific characteristics that we can measure to assure their cancer is either severe enough or not too advanced to include them in a study. The process of finding patients may prove costly. We also may not be able to identify, recruit or enroll a sufficient number of patients (or sufficient patients who have limited lines of prior therapy)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unavailable or unwilling to participate in our studies for any reason, the timeline for recruiting patients, conducting studies, reporting initial and final trial results and obtaining regulatory approval of potential products may be delayed.</w:t>
      </w:r>
    </w:p>
    <w:p>
      <w:pPr>
        <w:spacing w:after="0" w:line="192"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Further, if we are unable to identify patients with the targeted genetic mutations for our clinical trials, it could compromise our ability to seek designations under applicable FDA expedited review and development programs, including Breakthrough Therapy Designation and Fast Track Designation (to the extent these are available to us), or otherwise seek to accelerate clinical development and regulatory timelines. Patient enrollment may be affected by other factors, including: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severity of the disease under investigation;</w:t>
      </w:r>
    </w:p>
    <w:p>
      <w:pPr>
        <w:spacing w:after="0" w:line="27" w:lineRule="exact"/>
        <w:rPr>
          <w:sz w:val="20"/>
          <w:szCs w:val="20"/>
          <w:color w:val="auto"/>
        </w:rPr>
      </w:pPr>
    </w:p>
    <w:p>
      <w:pPr>
        <w:ind w:left="240" w:right="3860"/>
        <w:spacing w:after="0" w:line="250" w:lineRule="auto"/>
        <w:rPr>
          <w:sz w:val="20"/>
          <w:szCs w:val="20"/>
          <w:color w:val="auto"/>
        </w:rPr>
      </w:pPr>
      <w:r>
        <w:rPr>
          <w:rFonts w:ascii="Times New Roman" w:cs="Times New Roman" w:eastAsia="Times New Roman" w:hAnsi="Times New Roman"/>
          <w:sz w:val="18"/>
          <w:szCs w:val="18"/>
          <w:color w:val="auto"/>
        </w:rPr>
        <w:t>the efforts to obtain and maintain patient consents and facilitate timely enrollment in clinical trials; the ability to monitor patients adequately during and after treatment;</w:t>
      </w:r>
    </w:p>
    <w:p>
      <w:pPr>
        <w:ind w:left="240" w:right="3980"/>
        <w:spacing w:after="0" w:line="250" w:lineRule="auto"/>
        <w:rPr>
          <w:sz w:val="20"/>
          <w:szCs w:val="20"/>
          <w:color w:val="auto"/>
        </w:rPr>
      </w:pPr>
      <w:r>
        <w:rPr>
          <w:rFonts w:ascii="Times New Roman" w:cs="Times New Roman" w:eastAsia="Times New Roman" w:hAnsi="Times New Roman"/>
          <w:sz w:val="18"/>
          <w:szCs w:val="18"/>
          <w:color w:val="auto"/>
        </w:rPr>
        <w:t>the ability to recruit clinical trial investigators with the appropriate competencies and experience; reporting of the initial results of any of our clinical trials; and</w:t>
      </w:r>
    </w:p>
    <w:p>
      <w:pPr>
        <w:ind w:right="60" w:firstLine="230"/>
        <w:spacing w:after="0" w:line="260" w:lineRule="auto"/>
        <w:rPr>
          <w:sz w:val="20"/>
          <w:szCs w:val="20"/>
          <w:color w:val="auto"/>
        </w:rPr>
      </w:pPr>
      <w:r>
        <w:rPr>
          <w:rFonts w:ascii="Times New Roman" w:cs="Times New Roman" w:eastAsia="Times New Roman" w:hAnsi="Times New Roman"/>
          <w:sz w:val="18"/>
          <w:szCs w:val="18"/>
          <w:color w:val="auto"/>
        </w:rPr>
        <w:t>factors we may not be able to control, including the impacts of any epidemics or pandemics, which may limit patients, principal investigators or staff or clinical site availability.</w:t>
      </w:r>
    </w:p>
    <w:p>
      <w:pPr>
        <w:spacing w:after="0" w:line="177" w:lineRule="exact"/>
        <w:rPr>
          <w:sz w:val="20"/>
          <w:szCs w:val="20"/>
          <w:color w:val="auto"/>
        </w:rPr>
      </w:pPr>
    </w:p>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anticipate that certain of our current and future product candidates could be used in combination with third-party drugs or biologics, some of which are still in development, and we have limited or no control over the supply, regulatory status, or regulatory approval of such other drugs or biologics.</w:t>
      </w:r>
    </w:p>
    <w:p>
      <w:pPr>
        <w:spacing w:after="0" w:line="67"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Certain of our current product candidates and any future product candidates may have the potential to be administered in combination with existing standards of care (such as checkpoint inhibitor immunotherapies, chemotherapies, targeted therapies or radiotherapy) or with other classes of therapeutics agents (such as the RAS(ON) multi- and G12D- inhibitors from RevMed with which we plan to evaluate TNG462 in combination clinical trials and abemaciclib, with which we plan to evaluate TNG456 in a combination clinical trial). Our ability to develop and ultimately commercialize our current programs and product candidates and any future programs or product candidates for use in combination with other therapies will depend on our ability to access such drugs or biologics on commercially reasonable terms for the clinical trials and their availability for use with our commercialized product, if approved. We have entered into separate clinical collaboration and supply agreements with RevMed and Lilly, under which we plan to conduct combination clinical trials with RevMed's RAS(ON) multi- and G12D-selective inhibitors and Lilly's abemaciclib, respectively. Additionally, we plan to purchase pembrolizumab for use in combination with TNG462. Nevertheless, we cannot be certain that current or potential future commercial relationships will continue to provide us with a steady supply of such drugs or biologics on commercially reasonable terms, or at all.</w:t>
      </w:r>
    </w:p>
    <w:p>
      <w:pPr>
        <w:spacing w:after="0" w:line="194" w:lineRule="exact"/>
        <w:rPr>
          <w:sz w:val="20"/>
          <w:szCs w:val="20"/>
          <w:color w:val="auto"/>
        </w:rPr>
      </w:pPr>
    </w:p>
    <w:p>
      <w:pPr>
        <w:ind w:right="40" w:firstLine="576"/>
        <w:spacing w:after="0" w:line="261" w:lineRule="auto"/>
        <w:rPr>
          <w:sz w:val="20"/>
          <w:szCs w:val="20"/>
          <w:color w:val="auto"/>
        </w:rPr>
      </w:pPr>
      <w:r>
        <w:rPr>
          <w:rFonts w:ascii="Times New Roman" w:cs="Times New Roman" w:eastAsia="Times New Roman" w:hAnsi="Times New Roman"/>
          <w:sz w:val="18"/>
          <w:szCs w:val="18"/>
          <w:color w:val="auto"/>
        </w:rPr>
        <w:t>Any failure to maintain or enter into new commercial relationships, or the expense of purchasing checkpoint inhibitor immunotherapies or other potential combination or comparator therapies in the market, may delay our development timelines, increase our costs and jeopardize our ability to develop our current product candidates and any future product candidates as commercially viable therapies. If any of these circumstances occur, our business, financial condition, operating results, stock price and prospects may be materially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combination therapies may present more or different challenges than development of single agent therapies.</w:t>
      </w:r>
    </w:p>
    <w:p>
      <w:pPr>
        <w:spacing w:after="0" w:line="229" w:lineRule="exact"/>
        <w:rPr>
          <w:sz w:val="20"/>
          <w:szCs w:val="20"/>
          <w:color w:val="auto"/>
        </w:rPr>
      </w:pPr>
    </w:p>
    <w:p>
      <w:pPr>
        <w:ind w:right="40" w:firstLine="495"/>
        <w:spacing w:after="0" w:line="254" w:lineRule="auto"/>
        <w:rPr>
          <w:sz w:val="20"/>
          <w:szCs w:val="20"/>
          <w:color w:val="auto"/>
        </w:rPr>
      </w:pPr>
      <w:r>
        <w:rPr>
          <w:rFonts w:ascii="Times New Roman" w:cs="Times New Roman" w:eastAsia="Times New Roman" w:hAnsi="Times New Roman"/>
          <w:sz w:val="18"/>
          <w:szCs w:val="18"/>
          <w:color w:val="auto"/>
        </w:rPr>
        <w:t>We have one clinical trial currently testing the safety and efficacy of a combination therapy (TNG260 is being tested in combination with an anti-PD-1 antibody, pembrolizumab), and have additional clinical trials planned to evaluate (i) TNG462 in multiple different combinations, including with each of RevMed's RAS(ON) multi- and G12D- selective inhibitors and with pembrolizumab and (ii) TNG456 with abemaciclib. The clinical development of combination therapies may be more complex than the development of single agent therapies and generally requires that we are able to describe and demonstrate the contribution of each product to the safety and efficacy of the combination as a whole. This requirement may make the design and conduct of clinical trials more complex (which may cause delays in the trial or require additional data to be collected and analyzed, which, in turn, may limit any patent protection or regulatory exclusivity periods we have to market the product candidate). In addition, we expect this would increase the anticipated costs that we incur in connection with the seeking</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46" w:name="page47"/>
    <w:bookmarkEnd w:id="46"/>
    <w:p>
      <w:pPr>
        <w:ind w:right="100"/>
        <w:spacing w:after="0" w:line="258" w:lineRule="auto"/>
        <w:rPr>
          <w:sz w:val="20"/>
          <w:szCs w:val="20"/>
          <w:color w:val="auto"/>
        </w:rPr>
      </w:pPr>
      <w:r>
        <w:rPr>
          <w:rFonts w:ascii="Times New Roman" w:cs="Times New Roman" w:eastAsia="Times New Roman" w:hAnsi="Times New Roman"/>
          <w:sz w:val="18"/>
          <w:szCs w:val="18"/>
          <w:color w:val="auto"/>
        </w:rPr>
        <w:t>regulatory approval of the combination. Further, the FDA's "combination rule" prohibits the FDA approving a fixed-dose combination product unless each component of a proposed drug product contributes to the claimed effects and the dosage of each component (amount, frequency, duration) is safe and effective for the intended population. This typically requires a clinical factorial study, designed to assess the effects attributable to each drug in the combination product, particularly when the ingredients are directed at the same sign or symptom of the disease or condition. Moreover, the applicable requirements for approval of a combination therapy may differ from country to country.</w:t>
      </w:r>
    </w:p>
    <w:p>
      <w:pPr>
        <w:spacing w:after="0" w:line="183"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In the event that our product candidates fail to demonstrate sufficient safety and efficacy or establish their contribution to the claimed effects of a combination therapies, we would need to identify alternatives. In the event we are unable to do so or are unable to do so on commercially reasonable terms, our business and prospects would be materially harmed.</w:t>
      </w:r>
    </w:p>
    <w:p>
      <w:pPr>
        <w:spacing w:after="0" w:line="176"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Moreover, following product approval of a combination therapy, the FDA or comparable foreign regulatory authorities may require that products used in conjunction with each other be cross labeled for combined use. To the extent that we do not have rights to the other product, this may require us to work with a third party to satisfy such a requirement (which we ay be unable to do on reasonable terms, or at all). Moreover, developments related to the other product may impact our clinical trials for the combination as well as our commercial prospects should we receive regulatory approval. Such developments may include changes to the other product’s safety or efficacy profile, changes to the availability of the other product, quality, manufacturing and supply issues with respect to the other product, and changes to the standard of care.</w:t>
      </w:r>
    </w:p>
    <w:p>
      <w:pPr>
        <w:spacing w:after="0" w:line="18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72"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Any results from our earlier preclinical studies of our programs or our product candidates may not necessarily be predictive of the results from later preclinical studies and clinical trials.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112"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pharmacokinetic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51" w:lineRule="exact"/>
        <w:rPr>
          <w:sz w:val="20"/>
          <w:szCs w:val="20"/>
          <w:color w:val="auto"/>
        </w:rPr>
      </w:pPr>
    </w:p>
    <w:p>
      <w:pPr>
        <w:ind w:right="40" w:firstLine="576"/>
        <w:spacing w:after="0" w:line="252"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products, we must demonstrate through lengthy, complex and expensive preclinical studies and clinical trials that our product candidates are both safe and effective for use in each target indication. Clinical trials are expensive and can take many years to complete, and outcomes are inherently uncertain. Failure can occur at any time during the clinical trial process. Because our precision oncology programs and our product candidates are in early stages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nonclinical studies and initial clinical trials. If the results of our current and future preclinical studies and clinical trials are inconclusive with respect to the safety, pharmacokinetics or efficacy of our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There may be side effects experienced during clinical trials in connection with the use of oncology therapies. Results of our trials could reveal a high and unacceptable severity and prevalence of side effects as a result of the use of our therapy (or due to other factors). In such an event, we could decide to</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7" w:name="page48"/>
    <w:bookmarkEnd w:id="47"/>
    <w:p>
      <w:pPr>
        <w:ind w:right="120"/>
        <w:spacing w:after="0" w:line="256" w:lineRule="auto"/>
        <w:rPr>
          <w:sz w:val="20"/>
          <w:szCs w:val="20"/>
          <w:color w:val="auto"/>
        </w:rPr>
      </w:pPr>
      <w:r>
        <w:rPr>
          <w:rFonts w:ascii="Times New Roman" w:cs="Times New Roman" w:eastAsia="Times New Roman" w:hAnsi="Times New Roman"/>
          <w:sz w:val="18"/>
          <w:szCs w:val="18"/>
          <w:color w:val="auto"/>
        </w:rPr>
        <w:t>suspend or terminate a trial or program, or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 Product liability claims can be expensive to defend and result in significant damages and harm to our reputation. While we do have insurance to cover certain product liability claims, including in connection with certain injury during clinical trials, the coverage may not cover all injuries, be sufficient to cover all expenses related to any injury and we may be required to pay damages from our own resources and the amount of such damages may be significant.</w:t>
      </w:r>
    </w:p>
    <w:p>
      <w:pPr>
        <w:spacing w:after="0" w:line="120"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Further, our product candidates could cause undesirable side effects in clinical trials. If side effects are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For example, in May 2024, we announced that we were discontinuing development of our TNG348 program due to liver toxicity observed in the dose escalation portion of our Phase 1/2 clinical trial. In addition, our product candidates could cause undesirable side effects that we have not yet observed. Many compounds that initially showed promise in early-stage testing for treating cancer have later been found to cause side effects that prevented further development of the compound. There can be no assurance that any of our current or future clinical trials will ultimately be successful or support further clinical development or regulatory approval of any of our product candidates.</w:t>
      </w:r>
    </w:p>
    <w:p>
      <w:pPr>
        <w:spacing w:after="0" w:line="111"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Certain of our product candidates will be used, and future product candidates may be used, in combination with one or more cancer therapies. The uncertainty resulting from the use of our product candidates in combination with other cancer therapies may make it difficult to accurately predict side effects in future clinical trials or the combination product may cause negative effects resulting from drug-drug interactions in clinical trials. As is the case with many treatments for cancer and rare diseases, it is likely that there may be side effects associated with the use of our product candidates. If significant adverse events or other side effects are observed in the clinical trials of our product candidates or when used in combination with another therapy, we may have difficulty recruiting patients to our clinical trials, patients may drop out of our clinical trials, or we may be required to abandon the trials or our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For example, in May 2024, we announced that we were discontinuing development of our TNG348 program due to liver toxicity observed in the dose escalation portion of our Phase 1/2 clinical trial. Even if the side effects do not preclude the monotherapy or the combination products from obtaining or maintaining regulatory approval, undesirable side effects may inhibit market acceptance of the approved combination products due to their tolerability versus other therapies. Any of these developments could materially harm our business, operating results, financial condition and prospects.</w:t>
      </w:r>
    </w:p>
    <w:p>
      <w:pPr>
        <w:spacing w:after="0" w:line="183"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67" w:lineRule="exact"/>
        <w:rPr>
          <w:sz w:val="20"/>
          <w:szCs w:val="20"/>
          <w:color w:val="auto"/>
        </w:rPr>
      </w:pPr>
    </w:p>
    <w:p>
      <w:pPr>
        <w:ind w:right="80" w:firstLine="576"/>
        <w:spacing w:after="0" w:line="261" w:lineRule="auto"/>
        <w:rPr>
          <w:sz w:val="20"/>
          <w:szCs w:val="20"/>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uncertainty regarding our current and future development efforts and ability to obtain regulatory approval for such candidates. We select programs for cancer driver targets based on what we believe are compelling biological rationales. We explore new programs based on extensive preclinical data analysis which sometimes cannot predict efficacy or safety in humans.</w:t>
      </w:r>
    </w:p>
    <w:p>
      <w:pPr>
        <w:spacing w:after="0" w:line="112"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Some of our product candidates utilize novel binding locations, which may result in greater research and development expenses, regulatory issues that could delay or prevent drug candidate development and approval, or discovery of unknown or unanticipated adverse effects. We utilize structural biology in tight integration with our medicinal chemistry and biology capabilities to predict and design the compounds that we believe will achieve the most desirable characteristics, including potency, selectivity, bioavailability, and drug-like properties. A disruption in any of these capabilities may have significant adverse effects in our ability to expand our pipeline of product candidates, and we cannot predict whether we will continue to have access to these capabilities in the future to support our pipeline development. In addition, there can be no assurance that we will be able to identify, design and synthesize the necessary compounds or that these or other problems related to the development of product candidates will not arise in the future, which may cause significant delays or raise problems we may not be able to resolve.</w:t>
      </w:r>
    </w:p>
    <w:p>
      <w:pPr>
        <w:spacing w:after="0" w:line="138" w:lineRule="exact"/>
        <w:rPr>
          <w:sz w:val="20"/>
          <w:szCs w:val="20"/>
          <w:color w:val="auto"/>
        </w:rPr>
      </w:pPr>
    </w:p>
    <w:p>
      <w:pPr>
        <w:ind w:right="20" w:firstLine="576"/>
        <w:spacing w:after="0" w:line="261" w:lineRule="auto"/>
        <w:rPr>
          <w:sz w:val="20"/>
          <w:szCs w:val="20"/>
          <w:color w:val="auto"/>
        </w:rPr>
      </w:pPr>
      <w:r>
        <w:rPr>
          <w:rFonts w:ascii="Times New Roman" w:cs="Times New Roman" w:eastAsia="Times New Roman" w:hAnsi="Times New Roman"/>
          <w:sz w:val="18"/>
          <w:szCs w:val="18"/>
          <w:color w:val="auto"/>
        </w:rPr>
        <w:t>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ind w:right="60"/>
        <w:spacing w:after="0" w:line="256" w:lineRule="auto"/>
        <w:rPr>
          <w:sz w:val="20"/>
          <w:szCs w:val="20"/>
          <w:color w:val="auto"/>
        </w:rPr>
      </w:pPr>
      <w:r>
        <w:rPr>
          <w:rFonts w:ascii="Times New Roman" w:cs="Times New Roman" w:eastAsia="Times New Roman" w:hAnsi="Times New Roman"/>
          <w:sz w:val="18"/>
          <w:szCs w:val="18"/>
          <w:color w:val="auto"/>
        </w:rPr>
        <w:t>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and to identify clinical trial investigators to use our product candidates in trials. If our inhibitors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Any such events could adversely impact our business prospects, operating results and financial condition.</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clinical trials for our product candidates outside the United States, and the FDA and comparable foreign regulatory authorities may not accept data from such trials.</w:t>
      </w:r>
    </w:p>
    <w:p>
      <w:pPr>
        <w:spacing w:after="0" w:line="51"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We currently conduct certain clinical trials outside the United States, and expect we will continue to do so in the future, and these jurisdictions may include countries in Europe, Asia, Australia or other foreign jurisdictions. For example, we are conducting clinical trials for TNG462 in France and Spain. The acceptance of trial data from clinical trials conducted outside the United States by the FDA, or comparable foreign regulatory authorities,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approval being significantly delayed, or not receiving regulatory approval or clearance for commercialization in the applicable jurisdiction.</w:t>
      </w:r>
    </w:p>
    <w:p>
      <w:pPr>
        <w:spacing w:after="0" w:line="19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identify viable new product candidates for clinical development for a number of reasons. If we fail to identify additional product candidates, our business could be materially harmed.</w:t>
      </w:r>
    </w:p>
    <w:p>
      <w:pPr>
        <w:spacing w:after="0" w:line="51" w:lineRule="exact"/>
        <w:rPr>
          <w:sz w:val="20"/>
          <w:szCs w:val="20"/>
          <w:color w:val="auto"/>
        </w:rPr>
      </w:pPr>
    </w:p>
    <w:p>
      <w:pPr>
        <w:ind w:right="100" w:firstLine="584"/>
        <w:spacing w:after="0" w:line="258" w:lineRule="auto"/>
        <w:rPr>
          <w:sz w:val="20"/>
          <w:szCs w:val="20"/>
          <w:color w:val="auto"/>
        </w:rPr>
      </w:pPr>
      <w:r>
        <w:rPr>
          <w:rFonts w:ascii="Times New Roman" w:cs="Times New Roman" w:eastAsia="Times New Roman" w:hAnsi="Times New Roman"/>
          <w:sz w:val="18"/>
          <w:szCs w:val="18"/>
          <w:color w:val="auto"/>
        </w:rPr>
        <w:t>The ongoing success of businesses in the biopharmaceutical industry depends, to a large extent, on the ability to continue to introduce new products, especially as exclusivity rights to approved therapies or in certain indications expire. Research programs to pursue the development of our existing and planned product candidates for new or additional indications and to identify new product candidates and disease targets require substantial technical, financial and human resources whether or not they are ultimately successful. Our target screening technology and research programs may fail to yield potential products for clinical development for a number of reasons, including:</w:t>
      </w:r>
    </w:p>
    <w:p>
      <w:pPr>
        <w:spacing w:after="0" w:line="75" w:lineRule="exact"/>
        <w:rPr>
          <w:sz w:val="20"/>
          <w:szCs w:val="20"/>
          <w:color w:val="auto"/>
        </w:rPr>
      </w:pPr>
    </w:p>
    <w:p>
      <w:pPr>
        <w:ind w:right="180" w:firstLine="230"/>
        <w:spacing w:after="0" w:line="261" w:lineRule="auto"/>
        <w:rPr>
          <w:sz w:val="20"/>
          <w:szCs w:val="20"/>
          <w:color w:val="auto"/>
        </w:rPr>
      </w:pPr>
      <w:r>
        <w:rPr>
          <w:rFonts w:ascii="Times New Roman" w:cs="Times New Roman" w:eastAsia="Times New Roman" w:hAnsi="Times New Roman"/>
          <w:sz w:val="18"/>
          <w:szCs w:val="18"/>
          <w:color w:val="auto"/>
        </w:rPr>
        <w:t>the research methodology used may not be successful in identifying potential indications and/or product candidates (or the development of a chemical compound or formulation that has the desired safety and efficacy cannot be developed);</w:t>
      </w:r>
    </w:p>
    <w:p>
      <w:pPr>
        <w:ind w:right="80" w:firstLine="230"/>
        <w:spacing w:after="0" w:line="250" w:lineRule="auto"/>
        <w:rPr>
          <w:sz w:val="20"/>
          <w:szCs w:val="20"/>
          <w:color w:val="auto"/>
        </w:rPr>
      </w:pPr>
      <w:r>
        <w:rPr>
          <w:rFonts w:ascii="Times New Roman" w:cs="Times New Roman" w:eastAsia="Times New Roman" w:hAnsi="Times New Roman"/>
          <w:sz w:val="18"/>
          <w:szCs w:val="18"/>
          <w:color w:val="auto"/>
        </w:rPr>
        <w:t>potential product candidates may, after further study, be shown to have harmful adverse effects or other characteristics that indicate they are unlikely to be effective products; or</w:t>
      </w:r>
    </w:p>
    <w:p>
      <w:pPr>
        <w:ind w:firstLine="230"/>
        <w:spacing w:after="0" w:line="255" w:lineRule="auto"/>
        <w:rPr>
          <w:sz w:val="20"/>
          <w:szCs w:val="20"/>
          <w:color w:val="auto"/>
        </w:rPr>
      </w:pPr>
      <w:r>
        <w:rPr>
          <w:rFonts w:ascii="Times New Roman" w:cs="Times New Roman" w:eastAsia="Times New Roman" w:hAnsi="Times New Roman"/>
          <w:sz w:val="18"/>
          <w:szCs w:val="18"/>
          <w:color w:val="auto"/>
        </w:rPr>
        <w:t>it may take greater human and financial resources than we possess to identify additional therapeutic opportunities for our product candidates or to develop suitable potential product candidates through internal research programs, thereby limiting our ability to develop, diversify and expand our potential product portfolio.</w:t>
      </w:r>
    </w:p>
    <w:p>
      <w:pPr>
        <w:spacing w:after="0" w:line="186" w:lineRule="exact"/>
        <w:rPr>
          <w:sz w:val="20"/>
          <w:szCs w:val="20"/>
          <w:color w:val="auto"/>
        </w:rPr>
      </w:pPr>
    </w:p>
    <w:p>
      <w:pPr>
        <w:ind w:right="100" w:firstLine="576"/>
        <w:spacing w:after="0" w:line="261" w:lineRule="auto"/>
        <w:rPr>
          <w:sz w:val="20"/>
          <w:szCs w:val="20"/>
          <w:color w:val="auto"/>
        </w:rPr>
      </w:pPr>
      <w:r>
        <w:rPr>
          <w:rFonts w:ascii="Times New Roman" w:cs="Times New Roman" w:eastAsia="Times New Roman" w:hAnsi="Times New Roman"/>
          <w:sz w:val="18"/>
          <w:szCs w:val="18"/>
          <w:color w:val="auto"/>
        </w:rPr>
        <w:t>Because we have limited financial and human resources, we intend to initially focus on research programs and product candidates for a limited set of indications. As a result, we may forego or delay pursuit of opportunities of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180" w:lineRule="exact"/>
        <w:rPr>
          <w:sz w:val="20"/>
          <w:szCs w:val="20"/>
          <w:color w:val="auto"/>
        </w:rPr>
      </w:pPr>
    </w:p>
    <w:p>
      <w:pPr>
        <w:ind w:right="280" w:firstLine="576"/>
        <w:spacing w:after="0" w:line="282" w:lineRule="auto"/>
        <w:rPr>
          <w:sz w:val="20"/>
          <w:szCs w:val="20"/>
          <w:color w:val="auto"/>
        </w:rPr>
      </w:pPr>
      <w:r>
        <w:rPr>
          <w:rFonts w:ascii="Times New Roman" w:cs="Times New Roman" w:eastAsia="Times New Roman" w:hAnsi="Times New Roman"/>
          <w:sz w:val="18"/>
          <w:szCs w:val="18"/>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49" w:name="page50"/>
    <w:bookmarkEnd w:id="49"/>
    <w:p>
      <w:pPr>
        <w:jc w:val="both"/>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51"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Although we received FDA clearance of five of our IND applications for each of TNG908, TNG462, TNG260, TNG348, and TNG456, we have since discontinued development in TNG348 and TNG908.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pharmacokinetics, side effects, toxicities or other characteristics that may preclude our obtaining regulatory approval or prevent or limit commercial use. In addition, regulatory authorities may find fault with our manufacturing process or facilities or that of third-party contract manufacturers. We and our third-party manufacturers that we expect to rely on for commercial production of our therapies, if approved, may also face greater than expected difficulty in manufacturing our product candidates.</w:t>
      </w:r>
    </w:p>
    <w:p>
      <w:pPr>
        <w:spacing w:after="0" w:line="87" w:lineRule="exact"/>
        <w:rPr>
          <w:sz w:val="20"/>
          <w:szCs w:val="20"/>
          <w:color w:val="auto"/>
        </w:rPr>
      </w:pPr>
    </w:p>
    <w:p>
      <w:pPr>
        <w:ind w:right="140" w:firstLine="584"/>
        <w:spacing w:after="0" w:line="254"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foreign jurisdictions,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premarket approval application, or PMA, or equivalent application types, may cause delays in the approval or rejection of an application. The FDA and comparable foreign regulatory authorities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27" w:lineRule="exact"/>
        <w:rPr>
          <w:sz w:val="20"/>
          <w:szCs w:val="20"/>
          <w:color w:val="auto"/>
        </w:rPr>
      </w:pPr>
    </w:p>
    <w:p>
      <w:pPr>
        <w:ind w:right="560" w:firstLine="230"/>
        <w:spacing w:after="0" w:line="250" w:lineRule="auto"/>
        <w:rPr>
          <w:sz w:val="20"/>
          <w:szCs w:val="20"/>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 or a related companion diagnostic is suitable to identify appropriate patient populations;</w:t>
      </w:r>
    </w:p>
    <w:p>
      <w:pPr>
        <w:ind w:right="500" w:firstLine="230"/>
        <w:spacing w:after="0" w:line="250" w:lineRule="auto"/>
        <w:rPr>
          <w:sz w:val="20"/>
          <w:szCs w:val="20"/>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rPr>
          <w:sz w:val="20"/>
          <w:szCs w:val="20"/>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9" w:lineRule="exact"/>
        <w:rPr>
          <w:sz w:val="20"/>
          <w:szCs w:val="20"/>
          <w:color w:val="auto"/>
        </w:rPr>
      </w:pPr>
    </w:p>
    <w:p>
      <w:pPr>
        <w:ind w:right="260" w:firstLine="230"/>
        <w:spacing w:after="0" w:line="250" w:lineRule="auto"/>
        <w:rPr>
          <w:sz w:val="20"/>
          <w:szCs w:val="20"/>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 or to obtain regulatory approval in the United States or elsewhere;</w:t>
      </w:r>
    </w:p>
    <w:p>
      <w:pPr>
        <w:ind w:right="260" w:firstLine="230"/>
        <w:spacing w:after="0" w:line="250" w:lineRule="auto"/>
        <w:rPr>
          <w:sz w:val="20"/>
          <w:szCs w:val="20"/>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w:t>
      </w:r>
    </w:p>
    <w:p>
      <w:pPr>
        <w:ind w:right="320" w:firstLine="230"/>
        <w:spacing w:after="0" w:line="250" w:lineRule="auto"/>
        <w:rPr>
          <w:sz w:val="20"/>
          <w:szCs w:val="20"/>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such that our clinical data are insufficient for approval; and</w:t>
      </w:r>
    </w:p>
    <w:p>
      <w:pPr>
        <w:spacing w:after="0"/>
        <w:rPr>
          <w:sz w:val="20"/>
          <w:szCs w:val="20"/>
          <w:color w:val="auto"/>
        </w:rPr>
      </w:pPr>
      <w:r>
        <w:rPr>
          <w:rFonts w:ascii="Times New Roman" w:cs="Times New Roman" w:eastAsia="Times New Roman" w:hAnsi="Times New Roman"/>
          <w:sz w:val="18"/>
          <w:szCs w:val="18"/>
          <w:color w:val="auto"/>
        </w:rPr>
        <w:t>· due to the factors identified above in this and other risk factors;</w:t>
      </w:r>
    </w:p>
    <w:p>
      <w:pPr>
        <w:spacing w:after="0" w:line="207" w:lineRule="exact"/>
        <w:rPr>
          <w:sz w:val="20"/>
          <w:szCs w:val="20"/>
          <w:color w:val="auto"/>
        </w:rPr>
      </w:pPr>
    </w:p>
    <w:p>
      <w:pPr>
        <w:ind w:right="220" w:firstLine="576"/>
        <w:spacing w:after="0" w:line="256" w:lineRule="auto"/>
        <w:rPr>
          <w:sz w:val="20"/>
          <w:szCs w:val="20"/>
          <w:color w:val="auto"/>
        </w:rPr>
      </w:pPr>
      <w:r>
        <w:rPr>
          <w:rFonts w:ascii="Times New Roman" w:cs="Times New Roman" w:eastAsia="Times New Roman" w:hAnsi="Times New Roman"/>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or may require extensive health economics and outcomes analysis to determine if the product candidate provides health outcomes consistent with the costs of the therapy. Any of the foregoing scenarios could materially harm the commercial prospects for our product candidates.</w:t>
      </w:r>
    </w:p>
    <w:p>
      <w:pPr>
        <w:spacing w:after="0" w:line="187" w:lineRule="exact"/>
        <w:rPr>
          <w:sz w:val="20"/>
          <w:szCs w:val="20"/>
          <w:color w:val="auto"/>
        </w:rPr>
      </w:pPr>
    </w:p>
    <w:p>
      <w:pPr>
        <w:ind w:right="720" w:firstLine="576"/>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50" w:name="page51"/>
    <w:bookmarkEnd w:id="50"/>
    <w:p>
      <w:pPr>
        <w:ind w:right="4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Public health crises, such as a pandemic, epidemic, or outbreak of an infectious disease, may materially and adversely affect our business and our financial results and could cause a disruption to the development of our product candidates and the initiation and completion of clinical trials.</w:t>
      </w:r>
    </w:p>
    <w:p>
      <w:pPr>
        <w:spacing w:after="0" w:line="28" w:lineRule="exact"/>
        <w:rPr>
          <w:sz w:val="20"/>
          <w:szCs w:val="20"/>
          <w:color w:val="auto"/>
        </w:rPr>
      </w:pPr>
    </w:p>
    <w:p>
      <w:pPr>
        <w:ind w:right="120" w:firstLine="576"/>
        <w:spacing w:after="0" w:line="253"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such as COVID-19, could adversely impact our business. The extent to which pandemics or epidemics impacts our operations or those of our third-party partners, including our preclinical studies and clinical trial operations, will depend on future developments, which are highly uncertain and cannot be predicted with confidence and could adversely impact our preclinical or current and future clinical trial operations in the United States and foreign jurisdictions, including our ability to recruit and retain patients and principal investigators and site staff who, as healthcare providers, may have heightened exposure to pandemics or epidemics if an outbreak occurs in their geography. For example, similar to other biopharmaceutical companies, we may experience delays in initiating IND-enabling studies, protocol deviations, delays in enrolling our clinical trials, or dosing of patients in our clinical trials as well as in activating new trial sites. Epidemic or pandemics, such as COVID-19, may also affect employees of third-party CROs located in affected geographies that we expect that we will rely upon to carry out our clinical trials. Any negative impact that a pandemic or epidemic has on patient enrollment or treatment or the execution of clinical trials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92" w:lineRule="exact"/>
        <w:rPr>
          <w:sz w:val="20"/>
          <w:szCs w:val="20"/>
          <w:color w:val="auto"/>
        </w:rPr>
      </w:pPr>
    </w:p>
    <w:p>
      <w:pPr>
        <w:ind w:right="140" w:firstLine="576"/>
        <w:spacing w:after="0" w:line="282" w:lineRule="auto"/>
        <w:rPr>
          <w:sz w:val="20"/>
          <w:szCs w:val="20"/>
          <w:color w:val="auto"/>
        </w:rPr>
      </w:pPr>
      <w:r>
        <w:rPr>
          <w:rFonts w:ascii="Times New Roman" w:cs="Times New Roman" w:eastAsia="Times New Roman" w:hAnsi="Times New Roman"/>
          <w:sz w:val="18"/>
          <w:szCs w:val="18"/>
          <w:color w:val="auto"/>
        </w:rPr>
        <w:t>Additionally, timely enrollment in planned clinical trials and the reporting of clinical trial results is dependent upon clinical trial sites which could be adversely affected by global health matters, such as pandemics.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100" w:firstLine="576"/>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products in the biopharmaceutical and related industries is highly competitive. We compete in the segments of the pharmaceutical, biotechnology, and other related markets that address structural biology-guided chemistry-based drug design to develop therapies in the fields of cancer and genetic diseases. There are many other companies focusing on precision oncology to develop therapies in the fields of cancer and other diseases. Specifically, with respect to TNG462 and TNG456, we are aware that Bristol Myers Squibb (which acquired Mirati), Amgen, AstraZeneca, Beigene and Abbisko each have a clinical MTA-cooperative PRMT5 inhibitor program that have commenced clinical trials, using the same mechanism of action as TNG462 and TNG456. Other companies have announced PRMT5 inhibitor programs, including Gilead Sciences and IDEAYA Biosciences, and they may initiate clinical trials in the near future. Additionally, there are other indirect competitors running clinical trials in the PRMT5 inhibition space, including IDEAYA Biosciences, Beigene, Insilico Medicine and Servier Pharmaceuticals, which each have clinical MAT2A inhibitor programs.</w:t>
      </w:r>
    </w:p>
    <w:p>
      <w:pPr>
        <w:spacing w:after="0" w:line="80" w:lineRule="exact"/>
        <w:rPr>
          <w:sz w:val="20"/>
          <w:szCs w:val="20"/>
          <w:color w:val="auto"/>
        </w:rPr>
      </w:pPr>
    </w:p>
    <w:p>
      <w:pPr>
        <w:jc w:val="both"/>
        <w:ind w:right="180" w:firstLine="576"/>
        <w:spacing w:after="0" w:line="266" w:lineRule="auto"/>
        <w:rPr>
          <w:sz w:val="20"/>
          <w:szCs w:val="20"/>
          <w:color w:val="auto"/>
        </w:rPr>
      </w:pPr>
      <w:r>
        <w:rPr>
          <w:rFonts w:ascii="Times New Roman" w:cs="Times New Roman" w:eastAsia="Times New Roman" w:hAnsi="Times New Roman"/>
          <w:sz w:val="18"/>
          <w:szCs w:val="18"/>
          <w:color w:val="auto"/>
        </w:rPr>
        <w:t>We are not aware of any direct competition from other companies developing a similar mechanism as TNG260, our CoREST inhibitor program. Indirect competition may come from LSD1 inhibitor programs that target a different class of HDAC inhibitors than TNG260. We are aware that Jubilant Therapeutics has a LSD1-HDAC6 clinical program.</w:t>
      </w:r>
    </w:p>
    <w:p>
      <w:pPr>
        <w:spacing w:after="0" w:line="176"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All of our programs also compete more broadly across the market for cost-effective and reimbursable cancer treatments. Some of these competitive products and therapies are based on scientific approaches that are the same as or similar to our approach (as noted above), and others are based on entirely different approaches. These companies include divisions of large pharmaceutical companies and biotechnology companies of various sizes, such as Amgen, AstraZeneca, and Bristol Myers Squibb. We face competition with respect to our current product candidates, and expect that we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92" w:lineRule="exact"/>
        <w:rPr>
          <w:sz w:val="20"/>
          <w:szCs w:val="20"/>
          <w:color w:val="auto"/>
        </w:rPr>
      </w:pPr>
    </w:p>
    <w:p>
      <w:pPr>
        <w:ind w:right="80" w:firstLine="576"/>
        <w:spacing w:after="0" w:line="258"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currently approved therapies and new therapies that may become available in the future from segments of the pharmaceutical, biotechnology and other related markets. We believe principal competitive factors to our business include, among other things, our ability to identify biomarkers and third-party genetic and other screening services that include the applicable biomarkers in their test panels, ability to successfully transition research programs into clinical development, and the scalability of the platform, pipeline, and business. The key competitive factors affecting the success of all of our product candidates, if approved, are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1" w:name="page52"/>
    <w:bookmarkEnd w:id="51"/>
    <w:p>
      <w:pPr>
        <w:ind w:right="420"/>
        <w:spacing w:after="0" w:line="282" w:lineRule="auto"/>
        <w:rPr>
          <w:sz w:val="20"/>
          <w:szCs w:val="20"/>
          <w:color w:val="auto"/>
        </w:rPr>
      </w:pPr>
      <w:r>
        <w:rPr>
          <w:rFonts w:ascii="Times New Roman" w:cs="Times New Roman" w:eastAsia="Times New Roman" w:hAnsi="Times New Roman"/>
          <w:sz w:val="18"/>
          <w:szCs w:val="18"/>
          <w:color w:val="auto"/>
        </w:rPr>
        <w:t>likely to be their efficacy, safety, convenience, price, level of generic competition and novel competition that utilize the same or similar mechanism of action and availability of reimbursement from government and other third-party payors.</w:t>
      </w:r>
    </w:p>
    <w:p>
      <w:pPr>
        <w:spacing w:after="0" w:line="162" w:lineRule="exact"/>
        <w:rPr>
          <w:sz w:val="20"/>
          <w:szCs w:val="20"/>
          <w:color w:val="auto"/>
        </w:rPr>
      </w:pPr>
    </w:p>
    <w:p>
      <w:pPr>
        <w:ind w:right="40" w:firstLine="576"/>
        <w:spacing w:after="0" w:line="255" w:lineRule="auto"/>
        <w:rPr>
          <w:sz w:val="20"/>
          <w:szCs w:val="20"/>
          <w:color w:val="auto"/>
        </w:rPr>
      </w:pPr>
      <w:r>
        <w:rPr>
          <w:rFonts w:ascii="Times New Roman" w:cs="Times New Roman" w:eastAsia="Times New Roman" w:hAnsi="Times New Roman"/>
          <w:sz w:val="18"/>
          <w:szCs w:val="18"/>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promoting and selling approved products than we do. Mergers and acquisitions in the pharmaceutical, biotechnology and diagnostic industries may result in even more resources being concentrated among a smaller number of our competitors, such as the acquisition of Mirati by Bristol Myers Squibb.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9" w:lineRule="exact"/>
        <w:rPr>
          <w:sz w:val="20"/>
          <w:szCs w:val="20"/>
          <w:color w:val="auto"/>
        </w:rPr>
      </w:pPr>
    </w:p>
    <w:p>
      <w:pPr>
        <w:ind w:right="140" w:firstLine="576"/>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(if any) may develop. Our competitors also may obtain FDA or other regulatory approval for their products sooner than we may obtain approval for ours, which could result in our competitors establishing a strong market position before we or our collaborators (if any) are able to enter the market.</w:t>
      </w:r>
    </w:p>
    <w:p>
      <w:pPr>
        <w:spacing w:after="0" w:line="20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will be adversely affected, possibly materially.</w:t>
      </w:r>
    </w:p>
    <w:p>
      <w:pPr>
        <w:spacing w:after="0" w:line="51"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The incidence and prevalence for the target patient populations of our programs and product candidates have not been established with precision. TNG462 and TNG456 are both oral small molecule inhibitors of PRMT5. We are developing TNG462 for the treatment of patients with solid tumors with MTAP deletion, a genetic alteration that occurs in 10% to 15% of all human tumors, with a particular focus on pancreatic and lung cancer. Our next generation, brain-penetrant PRMT5 product candidate is TNG456. Since TNG456 crosses the blood-brain barrier in preclinical non-human primate models, we intend our development program to have a particular focus on patients with GBM. Additionally, TNG260 is a first-in-class, CoREST inhibitor, which reverses the immune evasion effect of STK11 loss-of-function mutations. STK11 loss-of-function mutations are a genetic alteration in approximately 20% of lung, 15% of cervical, 10% carcinoma of unknown primary, 5% of breast and 3% of pancreatic cancers. Our projections of both the number of people who have these diseases, as well as the subset of people with these diseases who have the potential to benefit from treatment with our product candidates, are based on our and third parties' estimates.</w:t>
      </w:r>
    </w:p>
    <w:p>
      <w:pPr>
        <w:spacing w:after="0" w:line="188" w:lineRule="exact"/>
        <w:rPr>
          <w:sz w:val="20"/>
          <w:szCs w:val="20"/>
          <w:color w:val="auto"/>
        </w:rPr>
      </w:pPr>
    </w:p>
    <w:p>
      <w:pPr>
        <w:ind w:right="60" w:firstLine="576"/>
        <w:spacing w:after="0" w:line="255" w:lineRule="auto"/>
        <w:rPr>
          <w:sz w:val="20"/>
          <w:szCs w:val="20"/>
          <w:color w:val="auto"/>
        </w:rPr>
      </w:pPr>
      <w:r>
        <w:rPr>
          <w:rFonts w:ascii="Times New Roman" w:cs="Times New Roman" w:eastAsia="Times New Roman" w:hAnsi="Times New Roman"/>
          <w:sz w:val="18"/>
          <w:szCs w:val="18"/>
          <w:color w:val="auto"/>
        </w:rPr>
        <w:t>The total addressable market opportunity will ultimately depend upon, among other things, the diagnosis criteria included in the final label (if approved for marketing), the indications for which our product candidates are approved for sale, acceptance by the medical community and patient access, product pricing and reimbursement. The number of patients with the cancers and solid tumors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capital, we must prioritize development of certain product candidates, which may prove to be the wrong choice and may adversely affect our business.</w:t>
      </w:r>
    </w:p>
    <w:p>
      <w:pPr>
        <w:spacing w:after="0" w:line="18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product candidates or any future product candidates do not achieve broad market acceptance, the revenue that we generate from their sales may be limited, and we may never become profitable.</w:t>
      </w:r>
    </w:p>
    <w:p>
      <w:pPr>
        <w:spacing w:after="0" w:line="51"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certain precision oncology product candidates or immunotherapies and targeted therapies are unsafe, whether related to our or our competitors’ products, our potential future products may not be accepted by the general public or the medical community. Future adverse events in</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2" w:name="page53"/>
    <w:bookmarkEnd w:id="52"/>
    <w:p>
      <w:pPr>
        <w:spacing w:after="0" w:line="282" w:lineRule="auto"/>
        <w:rPr>
          <w:sz w:val="20"/>
          <w:szCs w:val="20"/>
          <w:color w:val="auto"/>
        </w:rPr>
      </w:pPr>
      <w:r>
        <w:rPr>
          <w:rFonts w:ascii="Times New Roman" w:cs="Times New Roman" w:eastAsia="Times New Roman" w:hAnsi="Times New Roman"/>
          <w:sz w:val="18"/>
          <w:szCs w:val="18"/>
          <w:color w:val="auto"/>
        </w:rPr>
        <w:t>precision oncology, immuno-oncology or the biopharmaceutical industry could also result in greater governmental regulation, stricter labeling requirements and potential regulatory delays in the testing or approvals of our product candidates.</w:t>
      </w:r>
    </w:p>
    <w:p>
      <w:pPr>
        <w:spacing w:after="0" w:line="94" w:lineRule="exact"/>
        <w:rPr>
          <w:sz w:val="20"/>
          <w:szCs w:val="20"/>
          <w:color w:val="auto"/>
        </w:rPr>
      </w:pPr>
    </w:p>
    <w:p>
      <w:pPr>
        <w:ind w:right="20" w:firstLine="584"/>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which will depend on a number of factors, we could be prevented from or significantly delayed in achieving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continue to rely, on third parties to conduct our clinical trials.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67" w:lineRule="exact"/>
        <w:rPr>
          <w:sz w:val="20"/>
          <w:szCs w:val="20"/>
          <w:color w:val="auto"/>
        </w:rPr>
      </w:pPr>
    </w:p>
    <w:p>
      <w:pPr>
        <w:ind w:right="120" w:firstLine="576"/>
        <w:spacing w:after="0" w:line="258"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currently rely, and expect to continue to rely, on medical institutions, clinical investigators, contract laboratories and other third parties, such as CROs, to conduct or otherwise support clinical trials for our product candidates, including our current and future Phase 1/2 clinical trials of TNG462, TNG260 and TNG456, and for any other product candidates that emerge from our precision oncology programs. We may also rely on academic and private non-academic institutions to conduct and sponsor clinical trials relating to our product candidates.</w:t>
      </w:r>
    </w:p>
    <w:p>
      <w:pPr>
        <w:spacing w:after="0" w:line="75"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Since we rely on third parties for the execution of clinical trials for our product candidates, we control only certain aspects of their activities that will be important for the conduct of the trial (and such control that we do exercise may be based on contractual provisions that may be breached by the third-party). For example, for the Phase 1/2 clinical trials of TNG462, TNG456 and TNG260, we are and will rely on the same CRO for the conduct of each of these trials and, depending on the trial, one or a very limited number of manufacturers to manufacture the study drug to be used during the course of the trials. We are responsible for ensuring that each of our clinical trials is conducted and the applicable study drug is manufactured in accordance with the applicable protocol, legal and regulatory requirements and scientific standards, and our reliance on a CRO or CDMO will not relieve us of our regulatory responsibilities. For any violations of laws and regulations during the conduct of our clinical trials, we could be subject to warning letters or enforcement action that may include civil penalties, suspension/hold or termination of trials and other penalties up to and including criminal prosecution.</w:t>
      </w:r>
    </w:p>
    <w:p>
      <w:pPr>
        <w:spacing w:after="0" w:line="111" w:lineRule="exact"/>
        <w:rPr>
          <w:sz w:val="20"/>
          <w:szCs w:val="20"/>
          <w:color w:val="auto"/>
        </w:rPr>
      </w:pPr>
    </w:p>
    <w:p>
      <w:pPr>
        <w:ind w:right="120" w:firstLine="576"/>
        <w:spacing w:after="0" w:line="253" w:lineRule="auto"/>
        <w:rPr>
          <w:sz w:val="20"/>
          <w:szCs w:val="20"/>
          <w:color w:val="auto"/>
        </w:rPr>
      </w:pPr>
      <w:r>
        <w:rPr>
          <w:rFonts w:ascii="Times New Roman" w:cs="Times New Roman" w:eastAsia="Times New Roman" w:hAnsi="Times New Roman"/>
          <w:sz w:val="18"/>
          <w:szCs w:val="18"/>
          <w:color w:val="auto"/>
        </w:rPr>
        <w:t>We, our principal investigators and our CROs are required to comply with regulations, including cGCP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products in clinical development. The FDA enforces GCP regulations through periodic inspections of clinical trial sponsors, principal investigators and trial sites. If we, our principal investigators, clinical trial site staff or our CROs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current or future clinical trials will comply with GCP. In addition, our clinical trials generally must be conducted with product candidates produced under cGMP regulations. Our failure or the failure of our principal investigators, third party manufacturers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20" w:lineRule="exact"/>
        <w:rPr>
          <w:sz w:val="20"/>
          <w:szCs w:val="20"/>
          <w:color w:val="auto"/>
        </w:rPr>
      </w:pPr>
    </w:p>
    <w:p>
      <w:pPr>
        <w:ind w:right="80" w:firstLine="576"/>
        <w:spacing w:after="0" w:line="255" w:lineRule="auto"/>
        <w:rPr>
          <w:sz w:val="20"/>
          <w:szCs w:val="20"/>
          <w:color w:val="auto"/>
        </w:rPr>
      </w:pPr>
      <w:r>
        <w:rPr>
          <w:rFonts w:ascii="Times New Roman" w:cs="Times New Roman" w:eastAsia="Times New Roman" w:hAnsi="Times New Roman"/>
          <w:sz w:val="18"/>
          <w:szCs w:val="18"/>
          <w:color w:val="auto"/>
        </w:rPr>
        <w:t>Although we have designed all of our current Phase 1/2 clinical trials, the operational details of these trials will be executed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have staffing difficulties, fail to comply with contractual obligations, experience regulatory compliance issues, undergo changes in priorities or become financially distressed or form relationships with other entities, some of which may be our competitors.</w:t>
      </w:r>
    </w:p>
    <w:p>
      <w:pPr>
        <w:spacing w:after="0" w:line="189" w:lineRule="exact"/>
        <w:rPr>
          <w:sz w:val="20"/>
          <w:szCs w:val="20"/>
          <w:color w:val="auto"/>
        </w:rPr>
      </w:pPr>
    </w:p>
    <w:p>
      <w:pPr>
        <w:ind w:right="280" w:firstLine="576"/>
        <w:spacing w:after="0" w:line="282" w:lineRule="auto"/>
        <w:rPr>
          <w:sz w:val="20"/>
          <w:szCs w:val="20"/>
          <w:color w:val="auto"/>
        </w:rPr>
      </w:pPr>
      <w:r>
        <w:rPr>
          <w:rFonts w:ascii="Times New Roman" w:cs="Times New Roman" w:eastAsia="Times New Roman" w:hAnsi="Times New Roman"/>
          <w:sz w:val="18"/>
          <w:szCs w:val="18"/>
          <w:color w:val="auto"/>
        </w:rPr>
        <w:t>If the principal investigators or CROs do not perform clinical trials in a satisfactory manner, breach their obligations to us or fail to comply with regulatory requirements, the development, regulatory approval and commercialization of our product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spacing w:after="0" w:line="261" w:lineRule="auto"/>
        <w:rPr>
          <w:sz w:val="20"/>
          <w:szCs w:val="20"/>
          <w:color w:val="auto"/>
        </w:rPr>
      </w:pPr>
      <w:r>
        <w:rPr>
          <w:rFonts w:ascii="Times New Roman" w:cs="Times New Roman" w:eastAsia="Times New Roman" w:hAnsi="Times New Roman"/>
          <w:sz w:val="18"/>
          <w:szCs w:val="18"/>
          <w:color w:val="auto"/>
        </w:rPr>
        <w:t>candidates may be delayed, we may not be able to obtain regulatory approval and commercialize our product candidates or our development program may be materially and irreversibly harmed. If we are unable to rely on clinical data collected by our principal investigators, clinical trial site staff or CROs, we could be required to repeat, extend the duration of, or increase the size of any clinical trials we conduct and this could significantly delay commercialization and require significantly greater expenditures.</w:t>
      </w:r>
    </w:p>
    <w:p>
      <w:pPr>
        <w:spacing w:after="0" w:line="180" w:lineRule="exact"/>
        <w:rPr>
          <w:sz w:val="20"/>
          <w:szCs w:val="20"/>
          <w:color w:val="auto"/>
        </w:rPr>
      </w:pPr>
    </w:p>
    <w:p>
      <w:pPr>
        <w:ind w:right="120" w:firstLine="576"/>
        <w:spacing w:after="0" w:line="254" w:lineRule="auto"/>
        <w:rPr>
          <w:sz w:val="20"/>
          <w:szCs w:val="20"/>
          <w:color w:val="auto"/>
        </w:rPr>
      </w:pPr>
      <w:r>
        <w:rPr>
          <w:rFonts w:ascii="Times New Roman" w:cs="Times New Roman" w:eastAsia="Times New Roman" w:hAnsi="Times New Roman"/>
          <w:sz w:val="18"/>
          <w:szCs w:val="18"/>
          <w:color w:val="auto"/>
        </w:rPr>
        <w:t>If any of our relationships with these third-party principal investigators, clinical trial sites or CROs terminate, we may not be able to enter into arrangements with alternative investigators (or clinical trial sites) and CROs at all, or on terms that are acceptable to us. If principal investigators, sites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failure to properly enter patient information into trial databases, or for other reasons, any clinical trials such principal investigators, sites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future revenue, if any, could be delayed.</w:t>
      </w:r>
    </w:p>
    <w:p>
      <w:pPr>
        <w:spacing w:after="0" w:line="188"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collaborations and we may seek to establish additional collaborations in the future, and we might not realize the anticipated benefits of such collaborations. If we are not able to establish additional collaborations on commercially reasonable terms, or at all, we may have to alter our development and commercialization plans.</w:t>
      </w:r>
    </w:p>
    <w:p>
      <w:pPr>
        <w:spacing w:after="0" w:line="67" w:lineRule="exact"/>
        <w:rPr>
          <w:sz w:val="20"/>
          <w:szCs w:val="20"/>
          <w:color w:val="auto"/>
        </w:rPr>
      </w:pPr>
    </w:p>
    <w:p>
      <w:pPr>
        <w:ind w:right="180" w:firstLine="584"/>
        <w:spacing w:after="0" w:line="266" w:lineRule="auto"/>
        <w:rPr>
          <w:sz w:val="20"/>
          <w:szCs w:val="20"/>
          <w:color w:val="auto"/>
        </w:rPr>
      </w:pPr>
      <w:r>
        <w:rPr>
          <w:rFonts w:ascii="Times New Roman" w:cs="Times New Roman" w:eastAsia="Times New Roman" w:hAnsi="Times New Roman"/>
          <w:sz w:val="18"/>
          <w:szCs w:val="18"/>
          <w:color w:val="auto"/>
        </w:rPr>
        <w:t>Our product development programs and the potential commercialization of our product candidates will require substantial additional cash to fund expenses. For some of our product candidates, we may decide to collaborate with other pharmaceutical and biotechnology companies, like our existing collaboration with Gilead, for the development and potential commercialization of those product candidates.</w:t>
      </w:r>
    </w:p>
    <w:p>
      <w:pPr>
        <w:spacing w:after="0" w:line="68" w:lineRule="exact"/>
        <w:rPr>
          <w:sz w:val="20"/>
          <w:szCs w:val="20"/>
          <w:color w:val="auto"/>
        </w:rPr>
      </w:pPr>
    </w:p>
    <w:p>
      <w:pPr>
        <w:ind w:right="20" w:firstLine="584"/>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as well as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80" w:lineRule="exact"/>
        <w:rPr>
          <w:sz w:val="20"/>
          <w:szCs w:val="20"/>
          <w:color w:val="auto"/>
        </w:rPr>
      </w:pPr>
    </w:p>
    <w:p>
      <w:pPr>
        <w:ind w:right="80" w:firstLine="584"/>
        <w:spacing w:after="0" w:line="266" w:lineRule="auto"/>
        <w:rPr>
          <w:sz w:val="20"/>
          <w:szCs w:val="20"/>
          <w:color w:val="auto"/>
        </w:rPr>
      </w:pPr>
      <w:r>
        <w:rPr>
          <w:rFonts w:ascii="Times New Roman" w:cs="Times New Roman" w:eastAsia="Times New Roman" w:hAnsi="Times New Roman"/>
          <w:sz w:val="18"/>
          <w:szCs w:val="18"/>
          <w:color w:val="auto"/>
        </w:rPr>
        <w:t>We may also be restricted under collaboration agreements from entering into future agreements on certain terms with other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68" w:lineRule="exact"/>
        <w:rPr>
          <w:sz w:val="20"/>
          <w:szCs w:val="20"/>
          <w:color w:val="auto"/>
        </w:rPr>
      </w:pPr>
    </w:p>
    <w:p>
      <w:pPr>
        <w:ind w:right="40" w:firstLine="584"/>
        <w:spacing w:after="0" w:line="255"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and it may be difficult to recruit and retain the expertise needed to launch and commercialize a new drug therapy. If we do not have sufficient funds, we may not be able to further develop our product candidates or bring them to market and generate product revenue.</w:t>
      </w:r>
    </w:p>
    <w:p>
      <w:pPr>
        <w:spacing w:after="0" w:line="81" w:lineRule="exact"/>
        <w:rPr>
          <w:sz w:val="20"/>
          <w:szCs w:val="20"/>
          <w:color w:val="auto"/>
        </w:rPr>
      </w:pPr>
    </w:p>
    <w:p>
      <w:pPr>
        <w:jc w:val="both"/>
        <w:ind w:right="140" w:firstLine="584"/>
        <w:spacing w:after="0" w:line="261" w:lineRule="auto"/>
        <w:rPr>
          <w:sz w:val="20"/>
          <w:szCs w:val="20"/>
          <w:color w:val="auto"/>
        </w:rPr>
      </w:pPr>
      <w:r>
        <w:rPr>
          <w:rFonts w:ascii="Times New Roman" w:cs="Times New Roman" w:eastAsia="Times New Roman" w:hAnsi="Times New Roman"/>
          <w:sz w:val="18"/>
          <w:szCs w:val="18"/>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Research, development, commercialization and/or strategic collaborations, including the existing collaboration that we have with Gilead, are subject to numerous risks that may impact the success of a collaboration, which include the following:</w:t>
      </w:r>
    </w:p>
    <w:p>
      <w:pPr>
        <w:spacing w:after="0" w:line="72" w:lineRule="exact"/>
        <w:rPr>
          <w:sz w:val="20"/>
          <w:szCs w:val="20"/>
          <w:color w:val="auto"/>
        </w:rPr>
      </w:pPr>
    </w:p>
    <w:p>
      <w:pPr>
        <w:ind w:right="280" w:firstLine="230"/>
        <w:spacing w:after="0" w:line="261" w:lineRule="auto"/>
        <w:rPr>
          <w:sz w:val="20"/>
          <w:szCs w:val="20"/>
          <w:color w:val="auto"/>
        </w:rPr>
      </w:pPr>
      <w:r>
        <w:rPr>
          <w:rFonts w:ascii="Times New Roman" w:cs="Times New Roman" w:eastAsia="Times New Roman" w:hAnsi="Times New Roman"/>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ind w:right="20" w:firstLine="230"/>
        <w:spacing w:after="0" w:line="260" w:lineRule="auto"/>
        <w:rPr>
          <w:sz w:val="20"/>
          <w:szCs w:val="20"/>
          <w:color w:val="auto"/>
        </w:rPr>
      </w:pPr>
      <w:r>
        <w:rPr>
          <w:rFonts w:ascii="Times New Roman" w:cs="Times New Roman" w:eastAsia="Times New Roman" w:hAnsi="Times New Roman"/>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4" w:name="page55"/>
    <w:bookmarkEnd w:id="54"/>
    <w:p>
      <w:pPr>
        <w:ind w:right="280" w:firstLine="230"/>
        <w:spacing w:after="0" w:line="257" w:lineRule="auto"/>
        <w:rPr>
          <w:sz w:val="20"/>
          <w:szCs w:val="20"/>
          <w:color w:val="auto"/>
        </w:rPr>
      </w:pPr>
      <w:r>
        <w:rPr>
          <w:rFonts w:ascii="Times New Roman" w:cs="Times New Roman" w:eastAsia="Times New Roman" w:hAnsi="Times New Roman"/>
          <w:sz w:val="18"/>
          <w:szCs w:val="18"/>
          <w:color w:val="auto"/>
        </w:rPr>
        <w:t>collaborators might not pursue research, development and/or commercialization of collaboration product candidates or might elect not to continue or renew research, development and/or commercialization programs based on nonclinical and/or clinical trial results, changes in their strategic focus, availability of funding or other factors, such as a business combination that diverts resources or creates competing priorities;</w:t>
      </w:r>
    </w:p>
    <w:p>
      <w:pPr>
        <w:spacing w:after="0" w:line="1" w:lineRule="exact"/>
        <w:rPr>
          <w:sz w:val="20"/>
          <w:szCs w:val="20"/>
          <w:color w:val="auto"/>
        </w:rPr>
      </w:pPr>
    </w:p>
    <w:p>
      <w:pPr>
        <w:ind w:right="160" w:firstLine="230"/>
        <w:spacing w:after="0" w:line="250" w:lineRule="auto"/>
        <w:rPr>
          <w:sz w:val="20"/>
          <w:szCs w:val="20"/>
          <w:color w:val="auto"/>
        </w:rPr>
      </w:pPr>
      <w:r>
        <w:rPr>
          <w:rFonts w:ascii="Times New Roman" w:cs="Times New Roman" w:eastAsia="Times New Roman" w:hAnsi="Times New Roman"/>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ind w:right="140" w:firstLine="230"/>
        <w:spacing w:after="0" w:line="250" w:lineRule="auto"/>
        <w:rPr>
          <w:sz w:val="20"/>
          <w:szCs w:val="20"/>
          <w:color w:val="auto"/>
        </w:rPr>
      </w:pPr>
      <w:r>
        <w:rPr>
          <w:rFonts w:ascii="Times New Roman" w:cs="Times New Roman" w:eastAsia="Times New Roman" w:hAnsi="Times New Roman"/>
          <w:sz w:val="18"/>
          <w:szCs w:val="18"/>
          <w:color w:val="auto"/>
        </w:rPr>
        <w:t>collaborators with sales, marketing and distribution rights to one or more product candidates might not commit sufficient resources to sales, marketing and distribution or might otherwise fail to successfully commercialize those collaboration product candidates;</w:t>
      </w:r>
    </w:p>
    <w:p>
      <w:pPr>
        <w:spacing w:after="0"/>
        <w:rPr>
          <w:sz w:val="20"/>
          <w:szCs w:val="20"/>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9" w:lineRule="exact"/>
        <w:rPr>
          <w:sz w:val="20"/>
          <w:szCs w:val="20"/>
          <w:color w:val="auto"/>
        </w:rPr>
      </w:pPr>
    </w:p>
    <w:p>
      <w:pPr>
        <w:ind w:right="80" w:firstLine="8"/>
        <w:spacing w:after="0" w:line="250" w:lineRule="auto"/>
        <w:tabs>
          <w:tab w:leader="none" w:pos="1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might arise regarding the ownership of inventions and know-how resulting from the joint creation or use of either party's intellectual property in connection with the collaboration (or with other third-parties we engage in connection with sponsored research);</w:t>
      </w:r>
    </w:p>
    <w:p>
      <w:pPr>
        <w:jc w:val="both"/>
        <w:ind w:right="180" w:firstLine="23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properly maintain or defend our intellectual property rights (or jointly owned or developed intellectual property) or might use our intellectual property improperly or in a way that jeopardizes our intellectual property or the potential commercial benefit of our product candidates or exposes us to potential liability;</w:t>
      </w:r>
    </w:p>
    <w:p>
      <w:pPr>
        <w:spacing w:after="0" w:line="1" w:lineRule="exact"/>
        <w:rPr>
          <w:rFonts w:ascii="Times New Roman" w:cs="Times New Roman" w:eastAsia="Times New Roman" w:hAnsi="Times New Roman"/>
          <w:sz w:val="18"/>
          <w:szCs w:val="18"/>
          <w:color w:val="auto"/>
        </w:rPr>
      </w:pPr>
    </w:p>
    <w:p>
      <w:pPr>
        <w:ind w:right="140" w:firstLine="23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jc w:val="both"/>
        <w:ind w:right="200" w:firstLine="23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be in compliance with laws applicable to their activities under the collaboration, which could impact the collaboration and us; disputes might arise between a collaborator and us that could cause a delay or termination of the collaboration or result in costly litigation that diverts management attention and resources; and</w:t>
      </w:r>
    </w:p>
    <w:p>
      <w:pPr>
        <w:spacing w:after="0" w:line="1" w:lineRule="exact"/>
        <w:rPr>
          <w:rFonts w:ascii="Times New Roman" w:cs="Times New Roman" w:eastAsia="Times New Roman" w:hAnsi="Times New Roman"/>
          <w:sz w:val="18"/>
          <w:szCs w:val="18"/>
          <w:color w:val="auto"/>
        </w:rPr>
      </w:pPr>
    </w:p>
    <w:p>
      <w:pPr>
        <w:ind w:right="20" w:firstLine="23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might be terminated, which could result in a need for additional capital to pursue further research, development and/or commercialization of our product candidates.</w:t>
      </w:r>
    </w:p>
    <w:p>
      <w:pPr>
        <w:spacing w:after="0" w:line="114" w:lineRule="exact"/>
        <w:rPr>
          <w:sz w:val="20"/>
          <w:szCs w:val="20"/>
          <w:color w:val="auto"/>
        </w:rPr>
      </w:pPr>
    </w:p>
    <w:p>
      <w:pPr>
        <w:ind w:right="180" w:firstLine="576"/>
        <w:spacing w:after="0" w:line="266" w:lineRule="auto"/>
        <w:rPr>
          <w:sz w:val="20"/>
          <w:szCs w:val="20"/>
          <w:color w:val="auto"/>
        </w:rPr>
      </w:pPr>
      <w:r>
        <w:rPr>
          <w:rFonts w:ascii="Times New Roman" w:cs="Times New Roman" w:eastAsia="Times New Roman" w:hAnsi="Times New Roman"/>
          <w:sz w:val="18"/>
          <w:szCs w:val="18"/>
          <w:color w:val="auto"/>
        </w:rPr>
        <w:t>In addition, funding provided by a collaborator might not be sufficient to advance product candidates under the collaboration. For example, although Gilead provided us with $175.0 million upfront payments and a $20.0 million equity investment in connection with our collaboration, we might need additional funding to advance product candidates prior to the completion of the applicable milestones of the collaboration agreement with Gilead.</w:t>
      </w:r>
    </w:p>
    <w:p>
      <w:pPr>
        <w:spacing w:after="0" w:line="176" w:lineRule="exact"/>
        <w:rPr>
          <w:sz w:val="20"/>
          <w:szCs w:val="20"/>
          <w:color w:val="auto"/>
        </w:rPr>
      </w:pPr>
    </w:p>
    <w:p>
      <w:pPr>
        <w:ind w:right="160" w:firstLine="576"/>
        <w:spacing w:after="0" w:line="256" w:lineRule="auto"/>
        <w:rPr>
          <w:sz w:val="20"/>
          <w:szCs w:val="20"/>
          <w:color w:val="auto"/>
        </w:rPr>
      </w:pPr>
      <w:r>
        <w:rPr>
          <w:rFonts w:ascii="Times New Roman" w:cs="Times New Roman" w:eastAsia="Times New Roman" w:hAnsi="Times New Roman"/>
          <w:sz w:val="18"/>
          <w:szCs w:val="18"/>
          <w:color w:val="auto"/>
        </w:rPr>
        <w:t>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(or abandon a different program to allocate resources to the program rejected by the collaborator), the development of the relevant product candidate could be significantly delayed, and our cash expenditures could increase significantly if we are to continue research, development and/or commercialization of the relevant product candidates.</w:t>
      </w:r>
    </w:p>
    <w:p>
      <w:pPr>
        <w:spacing w:after="0" w:line="187"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Additionally, disagreements between parties to a collaboration arrangement regarding clinical development and commercialization matters can lead to delays in the development process or commercializing of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83" w:lineRule="exact"/>
        <w:rPr>
          <w:sz w:val="20"/>
          <w:szCs w:val="20"/>
          <w:color w:val="auto"/>
        </w:rPr>
      </w:pPr>
    </w:p>
    <w:p>
      <w:pPr>
        <w:ind w:right="200" w:firstLine="576"/>
        <w:spacing w:after="0" w:line="282" w:lineRule="auto"/>
        <w:rPr>
          <w:sz w:val="20"/>
          <w:szCs w:val="20"/>
          <w:color w:val="auto"/>
        </w:rPr>
      </w:pPr>
      <w:r>
        <w:rPr>
          <w:rFonts w:ascii="Times New Roman" w:cs="Times New Roman" w:eastAsia="Times New Roman" w:hAnsi="Times New Roman"/>
          <w:sz w:val="18"/>
          <w:szCs w:val="18"/>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15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a limited number of third parties for the manufacture of our product candidates for preclinical development and clinical testing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72" w:lineRule="exact"/>
        <w:rPr>
          <w:sz w:val="20"/>
          <w:szCs w:val="20"/>
          <w:color w:val="auto"/>
        </w:rPr>
      </w:pPr>
    </w:p>
    <w:p>
      <w:pPr>
        <w:ind w:right="40" w:firstLine="576"/>
        <w:spacing w:after="0" w:line="261"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We rely, and expect to continue to rely, on third parties for the manufacture of our product candidates for preclinical development and clinical testing, as well as for the commercial manufacture of our products if any of our product candidates receive regulatory approval. In some cases, we rely on one party or two parties to manufacture our preclinical and clinical</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5" w:name="page56"/>
    <w:bookmarkEnd w:id="55"/>
    <w:p>
      <w:pPr>
        <w:ind w:right="220"/>
        <w:spacing w:after="0" w:line="261" w:lineRule="auto"/>
        <w:rPr>
          <w:sz w:val="20"/>
          <w:szCs w:val="20"/>
          <w:color w:val="auto"/>
        </w:rPr>
      </w:pPr>
      <w:r>
        <w:rPr>
          <w:rFonts w:ascii="Times New Roman" w:cs="Times New Roman" w:eastAsia="Times New Roman" w:hAnsi="Times New Roman"/>
          <w:sz w:val="18"/>
          <w:szCs w:val="18"/>
          <w:color w:val="auto"/>
        </w:rPr>
        <w:t>products and we exercise limited direct control over these manufacturers (and it would be time consuming and expensive to move production to any new manufacturers, if we were able to do so at all). This reliance on third parties increases the risk that we will not have sufficient quantities of our product candidates or products, if approved, or such quantities at an acceptable cost or quality, which could delay, prevent or impair our development or commercialization efforts.</w:t>
      </w:r>
    </w:p>
    <w:p>
      <w:pPr>
        <w:spacing w:after="0" w:line="180" w:lineRule="exact"/>
        <w:rPr>
          <w:sz w:val="20"/>
          <w:szCs w:val="20"/>
          <w:color w:val="auto"/>
        </w:rPr>
      </w:pPr>
    </w:p>
    <w:p>
      <w:pPr>
        <w:ind w:right="100" w:firstLine="576"/>
        <w:spacing w:after="0" w:line="254"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be inspected by the FDA pursuant to pre-approval inspections that will be conducted after we submit our NDA applications to the FDA. We do not control the manufacturing process of, and will be completely dependent on, our contract manufacturers for compliance with cGMP in connection with the manufacture of our product candidates. If our contract manufacturers cannot successfully manufacture material that conforms to our specifications and the strict regulatory requirements of the FDA or other regulatory agencies,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comparable foreign regulatory agency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188"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If any CDMO with whom we contract fails to perform its obligations, we may be forced to enter into an agreement with a different CDMO, which we may not be able to do on reasonable terms, or at all, and such new agreement may result in significantly greater costs to us. In such scenario, our supply of study drug for clinical trials could be disrupted or delayed significantly as we establish alternative supply sources. In some cases, the technical skills or processes required to manufacture our products or product candidates may be unique or proprietary to the original CDMO and we may have difficulty, or there may be contractual restrictions prohibiting us from, transferring such skills or processes to a back-up or alternate supplier, or we may be unable to transfer such skills or processes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agency. The delays associated with the verification of a new CDMO could negatively affect our ability to develop product candidates or commercialize our products in a timely manner or within budget. This would increase our reliance on such CDMO or require us to obtain a license from such CDMO in order to have another CDMO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97" w:lineRule="exact"/>
        <w:rPr>
          <w:sz w:val="20"/>
          <w:szCs w:val="20"/>
          <w:color w:val="auto"/>
        </w:rPr>
      </w:pPr>
    </w:p>
    <w:p>
      <w:pPr>
        <w:ind w:right="20" w:firstLine="576"/>
        <w:spacing w:after="0" w:line="261" w:lineRule="auto"/>
        <w:rPr>
          <w:sz w:val="20"/>
          <w:szCs w:val="20"/>
          <w:color w:val="auto"/>
        </w:rPr>
      </w:pPr>
      <w:r>
        <w:rPr>
          <w:rFonts w:ascii="Times New Roman" w:cs="Times New Roman" w:eastAsia="Times New Roman" w:hAnsi="Times New Roman"/>
          <w:sz w:val="18"/>
          <w:szCs w:val="18"/>
          <w:color w:val="auto"/>
        </w:rPr>
        <w:t>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180" w:lineRule="exact"/>
        <w:rPr>
          <w:sz w:val="20"/>
          <w:szCs w:val="20"/>
          <w:color w:val="auto"/>
        </w:rPr>
      </w:pPr>
    </w:p>
    <w:p>
      <w:pPr>
        <w:ind w:right="60" w:firstLine="576"/>
        <w:spacing w:after="0" w:line="266"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approved products for access to manufacturing facilities. There are a limited number of manufacturers that operate under cGMP regulations and that might be capable of manufacturing for us.</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active pharmaceutical ingredients and drug product to be used in our product candidates are our sole sources of supply, and the loss of any of these suppliers could significantly harm our business.</w:t>
      </w:r>
    </w:p>
    <w:p>
      <w:pPr>
        <w:spacing w:after="0" w:line="51"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The API we use and that we may continue to use in all of our product candidates is supplied to us from one supplier. The drug product used in our product candidates is supplied by two manufacturers (and the manufacturer that produces the API is also one of the two suppliers of our the drug product used in our current clinical trials). Our ability to successfully develop our product candidates, and to ultimately supply our commercial products in quantities (if approved by regulatory authorities) sufficient to meet the market demand (and to meet requirements in connection with our ongoing and planned clinical trials), depends in part on our ability to obtain the API and drug product for these products in accordance with regulatory requirements and in sufficient quantities for clinical testing and commercialization, when applicable. We are also unable to predict how changing global economic conditions or global health concerns, as well as potential supply chain disruptions or cost increases related thereto, will affect our third-party suppliers and manufacturers. The risks related to global economic and political changes and supply chain disruption could have a material impact since one of our two CDMOs is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ind w:right="20"/>
        <w:spacing w:after="0" w:line="255" w:lineRule="auto"/>
        <w:rPr>
          <w:sz w:val="20"/>
          <w:szCs w:val="20"/>
          <w:color w:val="auto"/>
        </w:rPr>
      </w:pPr>
      <w:r>
        <w:rPr>
          <w:rFonts w:ascii="Times New Roman" w:cs="Times New Roman" w:eastAsia="Times New Roman" w:hAnsi="Times New Roman"/>
          <w:sz w:val="18"/>
          <w:szCs w:val="18"/>
          <w:color w:val="auto"/>
        </w:rPr>
        <w:t>located in China. Further, this CDMO, which is our sole supplier of API for the drugs used in our clinical trials, is affiliated with WuXi AppTec, and WuXi AppTec has been the subject of proposed Congressional legislation that, if enacted or if the subject of similar executive or administrative action, could restrict WuXi's business in the United States or the ability of businesses in the United States to conduct business with WuXi on national security grounds. We have started the process to locate an alternate producer of API, but there is no guarantee that we can identify and engage an alternate producer or manufacturer in time so as not to disrupt our clinical trials, on terms that are acceptable to us (including financial terms), or at all. Any negative impact of the ability of our CDMOs to deliver API and/or drug product due to political actions, supply chain disruptions or otherwise, may have a material adverse impact on our results of operations or financial condition.</w:t>
      </w:r>
    </w:p>
    <w:p>
      <w:pPr>
        <w:spacing w:after="0" w:line="189" w:lineRule="exact"/>
        <w:rPr>
          <w:sz w:val="20"/>
          <w:szCs w:val="20"/>
          <w:color w:val="auto"/>
        </w:rPr>
      </w:pPr>
    </w:p>
    <w:p>
      <w:pPr>
        <w:ind w:right="80" w:firstLine="576"/>
        <w:spacing w:after="0" w:line="256" w:lineRule="auto"/>
        <w:rPr>
          <w:sz w:val="20"/>
          <w:szCs w:val="20"/>
          <w:color w:val="auto"/>
        </w:rPr>
      </w:pPr>
      <w:r>
        <w:rPr>
          <w:rFonts w:ascii="Times New Roman" w:cs="Times New Roman" w:eastAsia="Times New Roman" w:hAnsi="Times New Roman"/>
          <w:sz w:val="18"/>
          <w:szCs w:val="18"/>
          <w:color w:val="auto"/>
        </w:rPr>
        <w:t>For all of our product candidates, we intend to identify and qualify additional manufacturers to provide such API and drug product prior to submission of an NDA to the FDA and/or an MAA to the EMA. We are not certain, however, that our single-source suppliers or limited number of suppliers will be able to meet our demand for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products on a timely basis in the past, they may subordinate our needs in the future to their other customers or may experience operating disruptions.</w:t>
      </w:r>
    </w:p>
    <w:p>
      <w:pPr>
        <w:spacing w:after="0" w:line="187"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Establishing additional or replacement suppliers for the API and drug product used in our product candidates and clinical trials, if required, may not be accomplished quickly (or at all). If we are able to find a replacement supplier, such replacement supplier would need to be qualified and may require additional regulatory inspection or approval, which could result in further delay. While we seek to maintain adequate inventory of the API and drug product used in our product candidates and clinical trials, any interruption or delay in the supply of components or materials, or our inability to obtain such API and drug product from alternate sources at acceptable prices in a timely manner could impede, delay, limit or prevent our development efforts, which could harm our business, results of operations, financial condition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obtain new patents, maintain our existing patents and protect the confidentiality and proprietary nature of our trade secrets and other intellectual property, our business and competitive position may be harmed.</w:t>
      </w:r>
    </w:p>
    <w:p>
      <w:pPr>
        <w:spacing w:after="0" w:line="51"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patent and regulatory protections for our products candidates, to preserve our trade secrets and other proprietary rights and to prevent third parties from infringing on our rights and our proprietary technology.</w:t>
      </w:r>
    </w:p>
    <w:p>
      <w:pPr>
        <w:spacing w:after="0" w:line="162" w:lineRule="exact"/>
        <w:rPr>
          <w:sz w:val="20"/>
          <w:szCs w:val="20"/>
          <w:color w:val="auto"/>
        </w:rPr>
      </w:pPr>
    </w:p>
    <w:p>
      <w:pPr>
        <w:ind w:right="80" w:firstLine="576"/>
        <w:spacing w:after="0" w:line="266" w:lineRule="auto"/>
        <w:rPr>
          <w:sz w:val="20"/>
          <w:szCs w:val="20"/>
          <w:color w:val="auto"/>
        </w:rPr>
      </w:pPr>
      <w:r>
        <w:rPr>
          <w:rFonts w:ascii="Times New Roman" w:cs="Times New Roman" w:eastAsia="Times New Roman" w:hAnsi="Times New Roman"/>
          <w:sz w:val="18"/>
          <w:szCs w:val="18"/>
          <w:color w:val="auto"/>
        </w:rPr>
        <w:t>We have procured patent rights, through both ownership and license, that cover our product candidates, and expect to apply for additional patent protections in the future. However, our patent applications may not result in the issuance of patents in the U.S. or other countries. In addition, a patent may be issued in one country, but a counterpart patent may not be issued in another country, which is not uncommon in the biopharmaceutical industry.</w:t>
      </w:r>
    </w:p>
    <w:p>
      <w:pPr>
        <w:spacing w:after="0" w:line="176" w:lineRule="exact"/>
        <w:rPr>
          <w:sz w:val="20"/>
          <w:szCs w:val="20"/>
          <w:color w:val="auto"/>
        </w:rPr>
      </w:pPr>
    </w:p>
    <w:p>
      <w:pPr>
        <w:ind w:right="80" w:firstLine="576"/>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that are due to be paid to the United States Patent and Trademark Office, or USPTO, and foreign countries may require the payment of maintenance fees or patent annuities during the lifetime of a patent application and/or any subsequent patent that issues from the application. The USPTO and various foreign governmental patent agencies require compliance with a number of procedural, documentary, fee payment and other similar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Such noncompliance can result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Such an event could have a material adverse effect on our business.</w:t>
      </w:r>
    </w:p>
    <w:p>
      <w:pPr>
        <w:spacing w:after="0" w:line="188" w:lineRule="exact"/>
        <w:rPr>
          <w:sz w:val="20"/>
          <w:szCs w:val="20"/>
          <w:color w:val="auto"/>
        </w:rPr>
      </w:pPr>
    </w:p>
    <w:p>
      <w:pPr>
        <w:ind w:right="40" w:firstLine="576"/>
        <w:spacing w:after="0" w:line="255" w:lineRule="auto"/>
        <w:rPr>
          <w:sz w:val="20"/>
          <w:szCs w:val="20"/>
          <w:color w:val="auto"/>
        </w:rPr>
      </w:pPr>
      <w:r>
        <w:rPr>
          <w:rFonts w:ascii="Times New Roman" w:cs="Times New Roman" w:eastAsia="Times New Roman" w:hAnsi="Times New Roman"/>
          <w:sz w:val="18"/>
          <w:szCs w:val="18"/>
          <w:color w:val="auto"/>
        </w:rPr>
        <w:t>Even if a patent is issued, that is not conclusive as to its inventorship, scope, validity or enforceability and therefore that patent may not afford adequate (or any) protection for our product candidates or future approved products or technology. On the basis of such inconclusiveness, third parties may challenge our patents. Furthermore, patents have a limited lifespan. In the United States and most other jurisdictions in which we have undertaken patent filings, the natural expiration of a patent is generally twenty years after it is filed, assuming all maintenance fees are paid.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ind w:right="140"/>
        <w:spacing w:after="0" w:line="266" w:lineRule="auto"/>
        <w:rPr>
          <w:sz w:val="20"/>
          <w:szCs w:val="20"/>
          <w:color w:val="auto"/>
        </w:rPr>
      </w:pPr>
      <w:r>
        <w:rPr>
          <w:rFonts w:ascii="Times New Roman" w:cs="Times New Roman" w:eastAsia="Times New Roman" w:hAnsi="Times New Roman"/>
          <w:sz w:val="18"/>
          <w:szCs w:val="18"/>
          <w:color w:val="auto"/>
        </w:rPr>
        <w:t>current or future product candidates, including generic versions of our drugs. Nor can we be certain that we will obtain any patent term extension as permitted under the “Hatch-Waxman Amendments” which permit a patent restoration term of up to five years as compensation for patent term lost during product development and the FDA regulatory review process.</w:t>
      </w:r>
    </w:p>
    <w:p>
      <w:pPr>
        <w:spacing w:after="0" w:line="176" w:lineRule="exact"/>
        <w:rPr>
          <w:sz w:val="20"/>
          <w:szCs w:val="20"/>
          <w:color w:val="auto"/>
        </w:rPr>
      </w:pPr>
    </w:p>
    <w:p>
      <w:pPr>
        <w:ind w:right="120" w:firstLine="576"/>
        <w:spacing w:after="0" w:line="261" w:lineRule="auto"/>
        <w:rPr>
          <w:sz w:val="20"/>
          <w:szCs w:val="20"/>
          <w:color w:val="auto"/>
        </w:rPr>
      </w:pPr>
      <w:r>
        <w:rPr>
          <w:rFonts w:ascii="Times New Roman" w:cs="Times New Roman" w:eastAsia="Times New Roman" w:hAnsi="Times New Roman"/>
          <w:sz w:val="18"/>
          <w:szCs w:val="18"/>
          <w:color w:val="auto"/>
        </w:rPr>
        <w:t>If any of our patents are narrowed, invalidated, revoked or become unenforceable, competitors may develop and market products similar or identical to ours that do not conflict with or infringe our patents rights, which could have a material adverse effect on our financial condition. Even if we obtain and maintain patents, our business may be significantly harmed if the patents are not broad enough to protect our products from copycat, generic or similar products.</w:t>
      </w:r>
    </w:p>
    <w:p>
      <w:pPr>
        <w:spacing w:after="0" w:line="180"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auto"/>
        </w:rPr>
        <w:t>In addition, if there are challenges to our intellectual property by third parties, we may in the future enter into agreements with those parties that provide certain intellectual property rights to our future marketed products or products in our pipeline. If we do enter into such agreements, we may not be the exclusive provider of a therapy and, as a result, we expect that any potential revenue from the sales of such therapies would be materially and negatively impacted.</w:t>
      </w:r>
    </w:p>
    <w:p>
      <w:pPr>
        <w:spacing w:after="0" w:line="180"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or were involved in generating our proprietary know-how, information or technology to assign or grant similar rights to the inventions they make in the course of their work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87" w:lineRule="exact"/>
        <w:rPr>
          <w:sz w:val="20"/>
          <w:szCs w:val="20"/>
          <w:color w:val="auto"/>
        </w:rPr>
      </w:pPr>
    </w:p>
    <w:p>
      <w:pPr>
        <w:ind w:right="140" w:firstLine="576"/>
        <w:spacing w:after="0" w:line="256" w:lineRule="auto"/>
        <w:rPr>
          <w:sz w:val="20"/>
          <w:szCs w:val="20"/>
          <w:color w:val="auto"/>
        </w:rPr>
      </w:pPr>
      <w:r>
        <w:rPr>
          <w:rFonts w:ascii="Times New Roman" w:cs="Times New Roman" w:eastAsia="Times New Roman" w:hAnsi="Times New Roman"/>
          <w:sz w:val="18"/>
          <w:szCs w:val="18"/>
          <w:color w:val="auto"/>
        </w:rPr>
        <w:t>We have, and expect that we will continue, to finance or collaborate in research and development projects conducted by third parties, including government organizations, hospitals, universities or other educational or research institutions, or other for-profit companies. Such third parties may be unwilling to grant us certain rights to technology or products developed through such projects. Certain collaborators may only grant us a right to obtain a license to technology developed in a collaboration, and we may not be able to negotiate a license or the license may require an upfront or royalty payment on terms that are acceptable to us, or at all. Disputes may also arise as to the rights to technology or products developed in collaboration with such third parties and we may not be able to secure the proprietary rights to any technology generated in such collaboration.</w:t>
      </w:r>
    </w:p>
    <w:p>
      <w:pPr>
        <w:spacing w:after="0" w:line="187"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Significant legal questions exist concerning the extent and scope of patent protection for biopharmaceutical products and processes in the U.S. and elsewhere. Accordingly, there is no certainty that patent applications owned or licensed by us will issue as patents, or that our issued patents will afford meaningful protection against competitors. Once issued, patents are subject to challenge through both administrative and judicial proceedings in the U.S. and certain other countries. Such proceedings include re-examinations, inter partes reviews, post-grant reviews and interference proceedings before the USPTO, as well as opposition proceedings before the European Patent Office and other non-U.S. patent offices. Certain countries have laws that provide stronger bases for challenging third party patent rights than are available to challenge patents in other countries. Therefore, we may be able to defend our patents against a third-party claim in one country but counterpart patents may be invalidated in other countries and we may be able to invalidate a third-party patent in one country but not invalidate its counterpart patents in other countries. Further, in jurisdictions outside the United States,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Litigation may be required to enforce, defend or obtain our patent and other intellectual property rights. Any administrative proceeding or litigation could require a significant commitment of our resources and, depending on outcome, could adversely affect the scope, validity or enforceability of certain of our patent or other proprietary rights.</w:t>
      </w:r>
    </w:p>
    <w:p>
      <w:pPr>
        <w:spacing w:after="0" w:line="187"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at least 18 months after the earliest priority date of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8" w:name="page59"/>
    <w:bookmarkEnd w:id="58"/>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Some of the sensitive technology, techniques and proprietary compounds used in our business are protected as trade secrets. Among other things, we enter into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(or for which we determine we will not seek patent protection). Although we seek to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 (or that the terms of such agreements are enforceable). In our business, we rely on collaboration with, or discuss the potential for collaboration with, suppliers, outside scientists, research organizations and other biopharmaceutical companies. Collaboration and discussion of potential collaboration or inadvertent disclosure of a trade secret present a strong risk of exposing our trade secrets. If our trade secrets were exposed, we may lose the protection and potential exclusive rights afforded by trade secret law, and such exposure may likely help our competitors and allow them to access technology without restriction and adversely affect our business prospects.</w:t>
      </w:r>
    </w:p>
    <w:p>
      <w:pPr>
        <w:spacing w:after="0" w:line="201"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In some instances, a delay in filing patent applications could adversely impact patentability, for example if certain information is disclosed prior to the filing of a patent application. Under certain circumstances, use of the compounds in clinical trials could be interpreted as a public use and negatively impact our ability to obtain patent protection for certain inventions. Due to expense of patent filings, we also may not file in every jurisdiction in which patents may be issued (and, therefore, we may not be able to assert patents rights in every country in the future).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or access from or to third parties. Therefore, these patents and applications may not be prosecuted and enforced in a manner consistent with the best interests of our business.</w:t>
      </w:r>
    </w:p>
    <w:p>
      <w:pPr>
        <w:spacing w:after="0" w:line="192" w:lineRule="exact"/>
        <w:rPr>
          <w:sz w:val="20"/>
          <w:szCs w:val="20"/>
          <w:color w:val="auto"/>
        </w:rPr>
      </w:pPr>
    </w:p>
    <w:p>
      <w:pPr>
        <w:ind w:right="100" w:firstLine="576"/>
        <w:spacing w:after="0" w:line="266" w:lineRule="auto"/>
        <w:rPr>
          <w:sz w:val="20"/>
          <w:szCs w:val="20"/>
          <w:color w:val="auto"/>
        </w:rPr>
      </w:pPr>
      <w:r>
        <w:rPr>
          <w:rFonts w:ascii="Times New Roman" w:cs="Times New Roman" w:eastAsia="Times New Roman" w:hAnsi="Times New Roman"/>
          <w:sz w:val="18"/>
          <w:szCs w:val="18"/>
          <w:color w:val="auto"/>
        </w:rPr>
        <w:t>Similarly, trademarks and trade names we utilize in our business may be challenged, infringed, diluted or declared generic or determined to be infringing on other marks. These marks can be important for name recognition in markets. If we are unable to secure and protect our trademarks and trade names, our business could be harmed.</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found to be infringing third party patents, we may be forced to pay damages to the patent owner and/or obtain a license to continue the manufacture, sale or development of our products. If we cannot obtain a license, we may be prevented from the manufacture, sale or development of our products or product candidates, which may adversely affect our business.</w:t>
      </w:r>
    </w:p>
    <w:p>
      <w:pPr>
        <w:spacing w:after="0" w:line="67"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Parts of our technology, techniques, proprietary compounds and potential product candidates, including those which are or may be in-licensed or developed in collaboration with third parties, may be found to infringe patents owned by or granted to others. We may in the future receive notices claiming our products (if approved) and product candidates infringe third party patents (and we have received and may in the future receive notices offering the right to license certain technology to us) and third parties may in the future file civil lawsuits against us claiming infringement of their intellectual property rights.</w:t>
      </w:r>
    </w:p>
    <w:p>
      <w:pPr>
        <w:spacing w:after="0" w:line="183"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auto"/>
        </w:rPr>
        <w:t>Third parties may claim that the manufacture, use or sale of our products or product candidates infringes patents owned or granted to such third parties. We may become aware of patents owned by third parties that might be claimed by such third parties to be infringed by the development, use, manufacture and commercialization of our products (if approved) or our investigational compounds. In such cases we may take certain actions with respect to some of these, for example we may try to invalidate the third-party patents or obtain licenses to a technology or invention.</w:t>
      </w:r>
    </w:p>
    <w:p>
      <w:pPr>
        <w:spacing w:after="0" w:line="180" w:lineRule="exact"/>
        <w:rPr>
          <w:sz w:val="20"/>
          <w:szCs w:val="20"/>
          <w:color w:val="auto"/>
        </w:rPr>
      </w:pPr>
    </w:p>
    <w:p>
      <w:pPr>
        <w:ind w:right="100" w:firstLine="576"/>
        <w:spacing w:after="0" w:line="255" w:lineRule="auto"/>
        <w:rPr>
          <w:sz w:val="20"/>
          <w:szCs w:val="20"/>
          <w:color w:val="auto"/>
        </w:rPr>
      </w:pPr>
      <w:r>
        <w:rPr>
          <w:rFonts w:ascii="Times New Roman" w:cs="Times New Roman" w:eastAsia="Times New Roman" w:hAnsi="Times New Roman"/>
          <w:sz w:val="18"/>
          <w:szCs w:val="18"/>
          <w:color w:val="auto"/>
        </w:rPr>
        <w:t>Any holder of patents covering similar or identical technology to our technology could sue us for damages, which may be material in amount, and seek to prevent us from manufacturing, selling or developing our products (and we may be, in certain cases, prevented from initiating product launches in certain jurisdictions or be required to withdraw the product from the market after it has been launched). Intellectual property disputes can be costly and time consuming to defend and there is no guarantee that we would prevail in such lawsuit. If we believe we cannot successfully defend against certain infringement claims, we may seek to invalidate the patent or seek a license to the technology prior to or during legal actions in order to reduce the risks in connection with the product launches (or at a later time after product introduction) and to reduce further costs and the risk of a court determination that our technology, techniques, proprietary compounds or potential product</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9" w:name="page60"/>
    <w:bookmarkEnd w:id="59"/>
    <w:p>
      <w:pPr>
        <w:ind w:right="360"/>
        <w:spacing w:after="0" w:line="282" w:lineRule="auto"/>
        <w:rPr>
          <w:sz w:val="20"/>
          <w:szCs w:val="20"/>
          <w:color w:val="auto"/>
        </w:rPr>
      </w:pPr>
      <w:r>
        <w:rPr>
          <w:rFonts w:ascii="Times New Roman" w:cs="Times New Roman" w:eastAsia="Times New Roman" w:hAnsi="Times New Roman"/>
          <w:sz w:val="18"/>
          <w:szCs w:val="18"/>
          <w:color w:val="auto"/>
        </w:rPr>
        <w:t>candidates infringe the third party’s patents. A required license may be costly or may not be available on acceptable terms, if at all. A costly license, or inability to obtain a necessary license, could have a material adverse effect on our business.</w:t>
      </w:r>
    </w:p>
    <w:p>
      <w:pPr>
        <w:spacing w:after="0" w:line="162" w:lineRule="exact"/>
        <w:rPr>
          <w:sz w:val="20"/>
          <w:szCs w:val="20"/>
          <w:color w:val="auto"/>
        </w:rPr>
      </w:pPr>
    </w:p>
    <w:p>
      <w:pPr>
        <w:ind w:right="20" w:firstLine="576"/>
        <w:spacing w:after="0" w:line="256" w:lineRule="auto"/>
        <w:rPr>
          <w:sz w:val="20"/>
          <w:szCs w:val="20"/>
          <w:color w:val="auto"/>
        </w:rPr>
      </w:pPr>
      <w:r>
        <w:rPr>
          <w:rFonts w:ascii="Times New Roman" w:cs="Times New Roman" w:eastAsia="Times New Roman" w:hAnsi="Times New Roman"/>
          <w:sz w:val="18"/>
          <w:szCs w:val="18"/>
          <w:color w:val="auto"/>
        </w:rPr>
        <w:t>In some instances, we believe we may prevail in a patent infringement action. There can, however, be no assurance that the court will agree with our position or that it will decide any infringement case in our favor. Nor can we be certain that, if we do not prevail in litigation, that we may be able to obtain a license to any third-party patent on commercially reasonable terms (or at all); successfully develop non-infringing alternatives on a timely basis (or at all); or license alternative non-infringing technology, if any exists, on commercially reasonable terms (or at all). Any impediment to our ability to manufacture, use or sell approved forms of our future products (if approved by regulatory authorities) or our product candidates could have a material adverse effect on our business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possible that we could lose market exclusivity for a product earlier than expected, which may harm our competitive position.</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 our industry, much of an innovative product’s commercial value is realized while it has market exclusivity.</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Market exclusivity for our future products (if approved for sale by regulatory authorities) will likely depend in large part on patent rights and certain regulatory forms of protection. As noted above, patent protection can be uncertain as to the validity, scope and enforceability of many issued patents. Absent relevant patent protection for a product, once regulatory exclusivity periods expire, generic versions of the product can be approved and marketed.</w:t>
      </w:r>
    </w:p>
    <w:p>
      <w:pPr>
        <w:spacing w:after="0" w:line="186" w:lineRule="exact"/>
        <w:rPr>
          <w:sz w:val="20"/>
          <w:szCs w:val="20"/>
          <w:color w:val="auto"/>
        </w:rPr>
      </w:pPr>
    </w:p>
    <w:p>
      <w:pPr>
        <w:ind w:right="220" w:firstLine="576"/>
        <w:spacing w:after="0" w:line="273" w:lineRule="auto"/>
        <w:rPr>
          <w:sz w:val="20"/>
          <w:szCs w:val="20"/>
          <w:color w:val="auto"/>
        </w:rPr>
      </w:pPr>
      <w:r>
        <w:rPr>
          <w:rFonts w:ascii="Times New Roman" w:cs="Times New Roman" w:eastAsia="Times New Roman" w:hAnsi="Times New Roman"/>
          <w:sz w:val="17"/>
          <w:szCs w:val="17"/>
          <w:color w:val="auto"/>
        </w:rPr>
        <w:t>The market exclusivity of our products may be impacted by competitive products that are either innovative or generic copies. In our industry, the risk of generic challenges has been increasing. U.S. law includes an approval pathway for generic versions of innovative small molecule products. Under the pathway, the FDA may approve products that are generic copies of innovative small molecule therapies on the basis of less extensive data than is required for a full new drug application. The law provides a mechanism to challenge the patents that protect an innovator’s products. Such litigation may begin as early as four years after the innovative small molecule product is first approved by the FDA. Pathways for generic products also exist in many other markets, including Europe and Japan. Competition, including from generics approved for marketing, would likely result in a decrease in volume of sales of our products, as well as a decrease in prices and lower margins for our products (if approved for marketing by regulatory authorities).</w:t>
      </w:r>
    </w:p>
    <w:p>
      <w:pPr>
        <w:spacing w:after="0" w:line="16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51" w:lineRule="exact"/>
        <w:rPr>
          <w:sz w:val="20"/>
          <w:szCs w:val="20"/>
          <w:color w:val="auto"/>
        </w:rPr>
      </w:pPr>
    </w:p>
    <w:p>
      <w:pPr>
        <w:ind w:right="40" w:firstLine="576"/>
        <w:spacing w:after="0" w:line="252" w:lineRule="auto"/>
        <w:rPr>
          <w:sz w:val="20"/>
          <w:szCs w:val="20"/>
          <w:color w:val="auto"/>
        </w:rPr>
      </w:pPr>
      <w:r>
        <w:rPr>
          <w:rFonts w:ascii="Times New Roman" w:cs="Times New Roman" w:eastAsia="Times New Roman" w:hAnsi="Times New Roman"/>
          <w:sz w:val="18"/>
          <w:szCs w:val="18"/>
          <w:color w:val="auto"/>
        </w:rPr>
        <w:t>Competitors may infringe any patents we may own or in-license, our trade secrets or other proprietary rights. In addition, any patents or other proprietary rights we may own or in-license also may become involved in inventorship, priority, validity or unenforceability disputes. To counter infringement or unauthorized use, we may be required to file infringement claims, which can be expensive and time-consuming to litigate. We may not prevail in any lawsuits that we initiate, and the damages or other remedies awarded, if any, may not be commercially meaningful (and we may not be able to prevent the commercialization of any competitor product or a generic).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(relating to conduct used in connection with obtaining regulatory approval of a medical device or drug).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(or any other proprietary rights we may own). An adverse result in any litigation or defense proceedings could put one or more of any patents we may own or in-license at risk of being invalidated, held unenforceable, or interpreted narrowly and could put our patent applications at risk of not issuing. Uncertainties resulting from the initiation and continuation of patent litigation or other proceedings relating to our proprietary rights could have a material adverse effect on our ability to compete in the marketplace and may negatively impact our stock price.</w:t>
      </w:r>
    </w:p>
    <w:p>
      <w:pPr>
        <w:spacing w:after="0" w:line="197" w:lineRule="exact"/>
        <w:rPr>
          <w:sz w:val="20"/>
          <w:szCs w:val="20"/>
          <w:color w:val="auto"/>
        </w:rPr>
      </w:pPr>
    </w:p>
    <w:p>
      <w:pPr>
        <w:ind w:right="80" w:firstLine="576"/>
        <w:spacing w:after="0" w:line="255"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(or technology covered under current patent applications) and could require us to cease using the related technology or to attempt to license rights to it from the prevailing party. Our business could be harmed if the prevailing party does not offer us a license on commercially reasonable terms, or at all.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0" w:name="page61"/>
    <w:bookmarkEnd w:id="60"/>
    <w:p>
      <w:pPr>
        <w:ind w:right="160" w:firstLine="576"/>
        <w:spacing w:after="0" w:line="258" w:lineRule="auto"/>
        <w:rPr>
          <w:sz w:val="20"/>
          <w:szCs w:val="20"/>
          <w:color w:val="auto"/>
        </w:rPr>
      </w:pPr>
      <w:r>
        <w:rPr>
          <w:rFonts w:ascii="Times New Roman" w:cs="Times New Roman" w:eastAsia="Times New Roman" w:hAnsi="Times New Roman"/>
          <w:sz w:val="18"/>
          <w:szCs w:val="18"/>
          <w:color w:val="auto"/>
        </w:rPr>
        <w:t>Even in cases in which we or our licensors or strategic partners initiate legal proceedings against a third party to enforce a patent covering one of our current or future product candidates, the defendant could (and in pharmaceutical patent litigation the defendant often does) make a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If such counterclaims are successful, the exclusivity related to the product may be lost and our business would be harmed.</w:t>
      </w:r>
    </w:p>
    <w:p>
      <w:pPr>
        <w:spacing w:after="0" w:line="17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51" w:lineRule="exact"/>
        <w:rPr>
          <w:sz w:val="20"/>
          <w:szCs w:val="20"/>
          <w:color w:val="auto"/>
        </w:rPr>
      </w:pPr>
    </w:p>
    <w:p>
      <w:pPr>
        <w:ind w:right="60" w:firstLine="576"/>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research and development activities or any future sales, marketing, patient support or distribution activities. We may not have sufficient financial or other resources to conduct such litigation or proceedings adequately (and we may decline to initiate litigation against a potential infringing party because the cost of the litigation and use of cash resources may be determined to not be in the best interests of the company at such time).</w:t>
      </w:r>
    </w:p>
    <w:p>
      <w:pPr>
        <w:spacing w:after="0" w:line="18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75"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our results of operations and the success of our business. We cannot assure you that our current or future product candidates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or research institutions.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192" w:lineRule="exact"/>
        <w:rPr>
          <w:sz w:val="20"/>
          <w:szCs w:val="20"/>
          <w:color w:val="auto"/>
        </w:rPr>
      </w:pPr>
    </w:p>
    <w:p>
      <w:pPr>
        <w:ind w:right="660" w:firstLine="584"/>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54" w:lineRule="exact"/>
        <w:rPr>
          <w:sz w:val="20"/>
          <w:szCs w:val="20"/>
          <w:color w:val="auto"/>
        </w:rPr>
      </w:pPr>
    </w:p>
    <w:p>
      <w:pPr>
        <w:ind w:right="240" w:firstLine="230"/>
        <w:spacing w:after="0" w:line="257" w:lineRule="auto"/>
        <w:rPr>
          <w:sz w:val="20"/>
          <w:szCs w:val="20"/>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1" w:lineRule="exact"/>
        <w:rPr>
          <w:sz w:val="20"/>
          <w:szCs w:val="20"/>
          <w:color w:val="auto"/>
        </w:rPr>
      </w:pPr>
    </w:p>
    <w:p>
      <w:pPr>
        <w:jc w:val="both"/>
        <w:ind w:right="20" w:firstLine="230"/>
        <w:spacing w:after="0" w:line="250" w:lineRule="auto"/>
        <w:rPr>
          <w:sz w:val="20"/>
          <w:szCs w:val="20"/>
          <w:color w:val="auto"/>
        </w:rPr>
      </w:pPr>
      <w:r>
        <w:rPr>
          <w:rFonts w:ascii="Times New Roman" w:cs="Times New Roman" w:eastAsia="Times New Roman" w:hAnsi="Times New Roman"/>
          <w:sz w:val="18"/>
          <w:szCs w:val="18"/>
          <w:color w:val="auto"/>
        </w:rPr>
        <w:t>a court prohibiting us from developing, manufacturing, marketing or selling our current product candidates, including TNG462, TNG456 or TNG260 or future product candidates, or from using our proprietary technologies, unless the third party licenses its product, process or other rights to us, which it is not required to do, on commercially reasonable terms or at all;</w:t>
      </w:r>
    </w:p>
    <w:p>
      <w:pPr>
        <w:spacing w:after="0" w:line="1" w:lineRule="exact"/>
        <w:rPr>
          <w:sz w:val="20"/>
          <w:szCs w:val="20"/>
          <w:color w:val="auto"/>
        </w:rPr>
      </w:pPr>
    </w:p>
    <w:p>
      <w:pPr>
        <w:ind w:right="20" w:firstLine="230"/>
        <w:spacing w:after="0" w:line="250" w:lineRule="auto"/>
        <w:rPr>
          <w:sz w:val="20"/>
          <w:szCs w:val="20"/>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processes or other rights, or the license to us may be non-exclusive, which would permit third parties to use the same intellectual property to compete with us;</w:t>
      </w:r>
    </w:p>
    <w:p>
      <w:pPr>
        <w:spacing w:after="0" w:line="1" w:lineRule="exact"/>
        <w:rPr>
          <w:sz w:val="20"/>
          <w:szCs w:val="20"/>
          <w:color w:val="auto"/>
        </w:rPr>
      </w:pPr>
    </w:p>
    <w:p>
      <w:pPr>
        <w:ind w:right="440" w:firstLine="230"/>
        <w:spacing w:after="0" w:line="250" w:lineRule="auto"/>
        <w:rPr>
          <w:sz w:val="20"/>
          <w:szCs w:val="20"/>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ind w:right="20" w:firstLine="230"/>
        <w:spacing w:after="0" w:line="253" w:lineRule="auto"/>
        <w:rPr>
          <w:sz w:val="20"/>
          <w:szCs w:val="20"/>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 Some of our competitors may be able to sustain the costs of complex patent litigation more effectively than we can because they have substantially greater resources. In addition, any uncertainties resulting from the initiation and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1" w:name="page62"/>
    <w:bookmarkEnd w:id="61"/>
    <w:p>
      <w:pPr>
        <w:ind w:right="140"/>
        <w:spacing w:after="0" w:line="282" w:lineRule="auto"/>
        <w:rPr>
          <w:sz w:val="20"/>
          <w:szCs w:val="20"/>
          <w:color w:val="auto"/>
        </w:rPr>
      </w:pPr>
      <w:r>
        <w:rPr>
          <w:rFonts w:ascii="Times New Roman" w:cs="Times New Roman" w:eastAsia="Times New Roman" w:hAnsi="Times New Roman"/>
          <w:sz w:val="18"/>
          <w:szCs w:val="18"/>
          <w:color w:val="auto"/>
        </w:rPr>
        <w:t>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58"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or obtain intellectual property protection.</w:t>
      </w:r>
    </w:p>
    <w:p>
      <w:pPr>
        <w:spacing w:after="0" w:line="67"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We may not be able to (or we may decide not to) pursue patent coverage of our current or future product candidates and technologies in all countries. Filing, prosecuting and defending patents on current or future product candidates and technologies in all countries throughout the world would be prohibitively expensive, and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intellectual property rights enforcement is not as strong as that in the United States.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192" w:lineRule="exact"/>
        <w:rPr>
          <w:sz w:val="20"/>
          <w:szCs w:val="20"/>
          <w:color w:val="auto"/>
        </w:rPr>
      </w:pPr>
    </w:p>
    <w:p>
      <w:pPr>
        <w:ind w:right="20" w:firstLine="576"/>
        <w:spacing w:after="0" w:line="25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7" w:lineRule="exact"/>
        <w:rPr>
          <w:sz w:val="20"/>
          <w:szCs w:val="20"/>
          <w:color w:val="auto"/>
        </w:rPr>
      </w:pPr>
    </w:p>
    <w:p>
      <w:pPr>
        <w:ind w:right="100" w:firstLine="576"/>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183" w:lineRule="exact"/>
        <w:rPr>
          <w:sz w:val="20"/>
          <w:szCs w:val="20"/>
          <w:color w:val="auto"/>
        </w:rPr>
      </w:pPr>
    </w:p>
    <w:p>
      <w:pPr>
        <w:ind w:right="60" w:firstLine="576"/>
        <w:spacing w:after="0" w:line="254" w:lineRule="auto"/>
        <w:rPr>
          <w:sz w:val="20"/>
          <w:szCs w:val="20"/>
          <w:color w:val="auto"/>
        </w:rPr>
      </w:pPr>
      <w:r>
        <w:rPr>
          <w:rFonts w:ascii="Times New Roman" w:cs="Times New Roman" w:eastAsia="Times New Roman" w:hAnsi="Times New Roman"/>
          <w:sz w:val="18"/>
          <w:szCs w:val="18"/>
          <w:color w:val="auto"/>
        </w:rPr>
        <w:t>Our European patents and patent applications could be challenged in the recently created Unified Patent Court, or UPC, for the European Union. We may decide to opt out of our European patents and patent applications from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Under the UPC, a granted European patent would be valid and enforceable in numerous European countries. A successful invalidity challenge to a European patent under the UPC would result in loss of patent protection in those European countries. Accordingly, a single proceeding under the UPC could result in the partial or complete loss of patent protection in numerous European countries, rather than in each validated European country separately as such patents have historically been adjudicated. Such a loss of patent protection could have a material adverse impact on our business and our ability to commercialize our technology and product candidates and, resultantly, on our business, financial condition, prospects and results of operations.</w:t>
      </w:r>
    </w:p>
    <w:p>
      <w:pPr>
        <w:spacing w:after="0" w:line="1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51" w:lineRule="exact"/>
        <w:rPr>
          <w:sz w:val="20"/>
          <w:szCs w:val="20"/>
          <w:color w:val="auto"/>
        </w:rPr>
      </w:pPr>
    </w:p>
    <w:p>
      <w:pPr>
        <w:jc w:val="both"/>
        <w:ind w:right="100" w:firstLine="576"/>
        <w:spacing w:after="0" w:line="261" w:lineRule="auto"/>
        <w:rPr>
          <w:sz w:val="20"/>
          <w:szCs w:val="20"/>
          <w:color w:val="auto"/>
        </w:rPr>
      </w:pPr>
      <w:r>
        <w:rPr>
          <w:rFonts w:ascii="Times New Roman" w:cs="Times New Roman" w:eastAsia="Times New Roman" w:hAnsi="Times New Roman"/>
          <w:sz w:val="18"/>
          <w:szCs w:val="18"/>
          <w:color w:val="auto"/>
        </w:rPr>
        <w:t>We may from time to time be party to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In spite of</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ind w:right="600"/>
        <w:spacing w:after="0" w:line="282" w:lineRule="auto"/>
        <w:rPr>
          <w:sz w:val="20"/>
          <w:szCs w:val="20"/>
          <w:color w:val="auto"/>
        </w:rPr>
      </w:pPr>
      <w:r>
        <w:rPr>
          <w:rFonts w:ascii="Times New Roman" w:cs="Times New Roman" w:eastAsia="Times New Roman" w:hAnsi="Times New Roman"/>
          <w:sz w:val="18"/>
          <w:szCs w:val="18"/>
          <w:color w:val="auto"/>
        </w:rPr>
        <w:t>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162" w:lineRule="exact"/>
        <w:rPr>
          <w:sz w:val="20"/>
          <w:szCs w:val="20"/>
          <w:color w:val="auto"/>
        </w:rPr>
      </w:pPr>
    </w:p>
    <w:p>
      <w:pPr>
        <w:ind w:right="80" w:firstLine="584"/>
        <w:spacing w:after="0" w:line="261" w:lineRule="auto"/>
        <w:rPr>
          <w:sz w:val="20"/>
          <w:szCs w:val="20"/>
          <w:color w:val="auto"/>
        </w:rPr>
      </w:pPr>
      <w:r>
        <w:rPr>
          <w:rFonts w:ascii="Times New Roman" w:cs="Times New Roman" w:eastAsia="Times New Roman" w:hAnsi="Times New Roman"/>
          <w:sz w:val="18"/>
          <w:szCs w:val="18"/>
          <w:color w:val="auto"/>
        </w:rPr>
        <w:t>Further, the terms of these agreements can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w:t>
      </w:r>
    </w:p>
    <w:p>
      <w:pPr>
        <w:spacing w:after="0" w:line="180" w:lineRule="exact"/>
        <w:rPr>
          <w:sz w:val="20"/>
          <w:szCs w:val="20"/>
          <w:color w:val="auto"/>
        </w:rPr>
      </w:pPr>
    </w:p>
    <w:p>
      <w:pPr>
        <w:ind w:right="40" w:firstLine="584"/>
        <w:spacing w:after="0" w:line="258" w:lineRule="auto"/>
        <w:rPr>
          <w:sz w:val="20"/>
          <w:szCs w:val="20"/>
          <w:color w:val="auto"/>
        </w:rPr>
      </w:pPr>
      <w:r>
        <w:rPr>
          <w:rFonts w:ascii="Times New Roman" w:cs="Times New Roman" w:eastAsia="Times New Roman" w:hAnsi="Times New Roman"/>
          <w:sz w:val="18"/>
          <w:szCs w:val="18"/>
          <w:color w:val="auto"/>
        </w:rPr>
        <w:t>Any termination of these licenses, or if the underlying patents or intellectual property or proprietary rights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or similar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Disputes may also arise between us and licensors regarding intellectual property subject to a license agreement, including: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7" w:lineRule="exact"/>
        <w:rPr>
          <w:sz w:val="20"/>
          <w:szCs w:val="20"/>
          <w:color w:val="auto"/>
        </w:rPr>
      </w:pPr>
    </w:p>
    <w:p>
      <w:pPr>
        <w:ind w:right="240" w:firstLine="230"/>
        <w:spacing w:after="0" w:line="250" w:lineRule="auto"/>
        <w:rPr>
          <w:sz w:val="20"/>
          <w:szCs w:val="20"/>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rPr>
          <w:sz w:val="20"/>
          <w:szCs w:val="20"/>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9" w:lineRule="exact"/>
        <w:rPr>
          <w:sz w:val="20"/>
          <w:szCs w:val="20"/>
          <w:color w:val="auto"/>
        </w:rPr>
      </w:pPr>
    </w:p>
    <w:p>
      <w:pPr>
        <w:ind w:firstLine="230"/>
        <w:spacing w:after="0" w:line="250" w:lineRule="auto"/>
        <w:rPr>
          <w:sz w:val="20"/>
          <w:szCs w:val="20"/>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rPr>
          <w:sz w:val="20"/>
          <w:szCs w:val="20"/>
          <w:color w:val="auto"/>
        </w:rPr>
      </w:pPr>
      <w:r>
        <w:rPr>
          <w:rFonts w:ascii="Times New Roman" w:cs="Times New Roman" w:eastAsia="Times New Roman" w:hAnsi="Times New Roman"/>
          <w:sz w:val="18"/>
          <w:szCs w:val="18"/>
          <w:color w:val="auto"/>
        </w:rPr>
        <w:t>the priority of invention of any patented technology; and</w:t>
      </w:r>
    </w:p>
    <w:p>
      <w:pPr>
        <w:spacing w:after="0" w:line="9" w:lineRule="exact"/>
        <w:rPr>
          <w:sz w:val="20"/>
          <w:szCs w:val="20"/>
          <w:color w:val="auto"/>
        </w:rPr>
      </w:pPr>
    </w:p>
    <w:p>
      <w:pPr>
        <w:ind w:right="600" w:firstLine="230"/>
        <w:spacing w:after="0" w:line="260" w:lineRule="auto"/>
        <w:rPr>
          <w:sz w:val="20"/>
          <w:szCs w:val="20"/>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future licensors and us and our partners and collaborators.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121"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 xml:space="preserve">Patent reform legislation in the United States and other countries, including the Leahy-Smith America Invents Act, or Leahy-Smith Act, signed into law on September 16, 2011, could increase uncertainties of the scope of our patent protection and the costs related to obtaining and enforcing our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22" w:lineRule="exact"/>
        <w:rPr>
          <w:sz w:val="20"/>
          <w:szCs w:val="20"/>
          <w:color w:val="auto"/>
        </w:rPr>
      </w:pPr>
    </w:p>
    <w:p>
      <w:pPr>
        <w:jc w:val="both"/>
        <w:ind w:right="80" w:firstLine="576"/>
        <w:spacing w:after="0" w:line="266" w:lineRule="auto"/>
        <w:rPr>
          <w:sz w:val="20"/>
          <w:szCs w:val="20"/>
          <w:color w:val="auto"/>
        </w:rPr>
      </w:pPr>
      <w:r>
        <w:rPr>
          <w:rFonts w:ascii="Times New Roman" w:cs="Times New Roman" w:eastAsia="Times New Roman" w:hAnsi="Times New Roman"/>
          <w:sz w:val="18"/>
          <w:szCs w:val="18"/>
          <w:color w:val="auto"/>
        </w:rPr>
        <w:t>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w:t>
      </w:r>
    </w:p>
    <w:p>
      <w:pPr>
        <w:spacing w:after="0" w:line="95" w:lineRule="exact"/>
        <w:rPr>
          <w:sz w:val="20"/>
          <w:szCs w:val="20"/>
          <w:color w:val="auto"/>
        </w:rPr>
      </w:pPr>
    </w:p>
    <w:p>
      <w:pPr>
        <w:ind w:right="40" w:firstLine="576"/>
        <w:spacing w:after="0" w:line="255"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rights under patents that we might obtain in the future. Further, other countries and jurisdictions, such as the European Union, periodically review their intellectual property laws and they may also</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ind w:right="240"/>
        <w:spacing w:after="0" w:line="282" w:lineRule="auto"/>
        <w:rPr>
          <w:sz w:val="20"/>
          <w:szCs w:val="20"/>
          <w:color w:val="auto"/>
        </w:rPr>
      </w:pPr>
      <w:r>
        <w:rPr>
          <w:rFonts w:ascii="Times New Roman" w:cs="Times New Roman" w:eastAsia="Times New Roman" w:hAnsi="Times New Roman"/>
          <w:sz w:val="18"/>
          <w:szCs w:val="18"/>
          <w:color w:val="auto"/>
        </w:rPr>
        <w:t>take similar actions that impact the laws and regulations governing patents and they may implement changes that could weaken our ability to obtain new patents or to enforce our rights under patents that we might obtain in the future.</w:t>
      </w:r>
    </w:p>
    <w:p>
      <w:pPr>
        <w:spacing w:after="0" w:line="15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51"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identification of third-party patent rights that may be relevant to our operations is difficult because patent searching is imperfect due to, for example, differences in terminology among patents or incomplete databases. Additionally, pending patent applications that have been published can, subject to certain limitations, be later amended in a manner that could cover our current or future product candidates or technologies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or use certain technologies. We may incorrectly determine that our current or future product candidates or technologies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current or future product candidates or use certain technologies. Our failure to identify and correctly interpret relevant patents may negatively impact our ability to develop and market our current or future product candidates or use certain technologies.</w:t>
      </w:r>
    </w:p>
    <w:p>
      <w:pPr>
        <w:spacing w:after="0" w:line="192" w:lineRule="exact"/>
        <w:rPr>
          <w:sz w:val="20"/>
          <w:szCs w:val="20"/>
          <w:color w:val="auto"/>
        </w:rPr>
      </w:pPr>
    </w:p>
    <w:p>
      <w:pPr>
        <w:ind w:right="40" w:firstLine="576"/>
        <w:spacing w:after="0" w:line="266"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which can result in the adverse consequences related to infringement as described in the preceding risk factors.</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51" w:lineRule="exact"/>
        <w:rPr>
          <w:sz w:val="20"/>
          <w:szCs w:val="20"/>
          <w:color w:val="auto"/>
        </w:rPr>
      </w:pPr>
    </w:p>
    <w:p>
      <w:pPr>
        <w:ind w:right="20" w:firstLine="584"/>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any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72" w:lineRule="exact"/>
        <w:rPr>
          <w:sz w:val="20"/>
          <w:szCs w:val="20"/>
          <w:color w:val="auto"/>
        </w:rPr>
      </w:pPr>
    </w:p>
    <w:p>
      <w:pPr>
        <w:ind w:right="220" w:firstLine="230"/>
        <w:spacing w:after="0" w:line="261" w:lineRule="auto"/>
        <w:rPr>
          <w:sz w:val="20"/>
          <w:szCs w:val="20"/>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 challenged and held invalid or unenforceable;</w:t>
      </w:r>
    </w:p>
    <w:p>
      <w:pPr>
        <w:jc w:val="both"/>
        <w:ind w:right="260" w:firstLine="230"/>
        <w:spacing w:after="0" w:line="250" w:lineRule="auto"/>
        <w:rPr>
          <w:sz w:val="20"/>
          <w:szCs w:val="20"/>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1" w:lineRule="exact"/>
        <w:rPr>
          <w:sz w:val="20"/>
          <w:szCs w:val="20"/>
          <w:color w:val="auto"/>
        </w:rPr>
      </w:pPr>
    </w:p>
    <w:p>
      <w:pPr>
        <w:ind w:right="80" w:firstLine="230"/>
        <w:spacing w:after="0" w:line="250" w:lineRule="auto"/>
        <w:rPr>
          <w:sz w:val="20"/>
          <w:szCs w:val="20"/>
          <w:color w:val="auto"/>
        </w:rPr>
      </w:pPr>
      <w:r>
        <w:rPr>
          <w:rFonts w:ascii="Times New Roman" w:cs="Times New Roman" w:eastAsia="Times New Roman" w:hAnsi="Times New Roman"/>
          <w:sz w:val="18"/>
          <w:szCs w:val="18"/>
          <w:color w:val="auto"/>
        </w:rPr>
        <w:t>we, or our future licensors or collaborators, might not have been the first to make the inventions or to file the patent covered by a patent application that we own or may in-license;</w:t>
      </w:r>
    </w:p>
    <w:p>
      <w:pPr>
        <w:ind w:right="600" w:firstLine="230"/>
        <w:spacing w:after="0" w:line="250" w:lineRule="auto"/>
        <w:rPr>
          <w:sz w:val="20"/>
          <w:szCs w:val="20"/>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jc w:val="both"/>
        <w:ind w:right="520" w:firstLine="230"/>
        <w:spacing w:after="0" w:line="250" w:lineRule="auto"/>
        <w:rPr>
          <w:sz w:val="20"/>
          <w:szCs w:val="20"/>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1" w:lineRule="exact"/>
        <w:rPr>
          <w:sz w:val="20"/>
          <w:szCs w:val="20"/>
          <w:color w:val="auto"/>
        </w:rPr>
      </w:pPr>
    </w:p>
    <w:p>
      <w:pPr>
        <w:ind w:right="40" w:firstLine="230"/>
        <w:spacing w:after="0" w:line="250" w:lineRule="auto"/>
        <w:rPr>
          <w:sz w:val="20"/>
          <w:szCs w:val="20"/>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trade secrets or know-how;</w:t>
      </w:r>
    </w:p>
    <w:p>
      <w:pPr>
        <w:ind w:left="240" w:right="3560"/>
        <w:spacing w:after="0" w:line="260" w:lineRule="auto"/>
        <w:rPr>
          <w:sz w:val="20"/>
          <w:szCs w:val="20"/>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 we may not develop or in-license additional proprietary technologies that are patentable; and</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commercial success depends on gaining regulatory approval for new products and obtaining approvals for new indications.</w:t>
      </w:r>
    </w:p>
    <w:p>
      <w:pPr>
        <w:spacing w:after="0" w:line="121" w:lineRule="exact"/>
        <w:rPr>
          <w:sz w:val="20"/>
          <w:szCs w:val="20"/>
          <w:color w:val="auto"/>
        </w:rPr>
      </w:pPr>
    </w:p>
    <w:p>
      <w:pPr>
        <w:ind w:right="260" w:firstLine="576"/>
        <w:spacing w:after="0" w:line="261" w:lineRule="auto"/>
        <w:rPr>
          <w:sz w:val="20"/>
          <w:szCs w:val="20"/>
          <w:color w:val="auto"/>
        </w:rPr>
      </w:pPr>
      <w:r>
        <w:rPr>
          <w:rFonts w:ascii="Times New Roman" w:cs="Times New Roman" w:eastAsia="Times New Roman" w:hAnsi="Times New Roman"/>
          <w:sz w:val="18"/>
          <w:szCs w:val="18"/>
          <w:color w:val="auto"/>
        </w:rPr>
        <w:t>We invest significant amounts in developing new products and technologies. Our success and revenue growth, if any, will depend in part on our identification, development, approval by regulatory authorities and commercialization of new products and technologies, and approval of additional indications by regulatory authorities for our products under development. Product development is very expensive, takes significant time and involves a high degree of risk. Only a small number of research and development programs result in the approval and commercialization of a product.</w:t>
      </w:r>
    </w:p>
    <w:p>
      <w:pPr>
        <w:spacing w:after="0" w:line="180" w:lineRule="exact"/>
        <w:rPr>
          <w:sz w:val="20"/>
          <w:szCs w:val="20"/>
          <w:color w:val="auto"/>
        </w:rPr>
      </w:pPr>
    </w:p>
    <w:p>
      <w:pPr>
        <w:jc w:val="both"/>
        <w:ind w:right="160" w:firstLine="584"/>
        <w:spacing w:after="0" w:line="266" w:lineRule="auto"/>
        <w:rPr>
          <w:sz w:val="20"/>
          <w:szCs w:val="20"/>
          <w:color w:val="auto"/>
        </w:rPr>
      </w:pPr>
      <w:r>
        <w:rPr>
          <w:rFonts w:ascii="Times New Roman" w:cs="Times New Roman" w:eastAsia="Times New Roman" w:hAnsi="Times New Roman"/>
          <w:sz w:val="18"/>
          <w:szCs w:val="18"/>
          <w:color w:val="auto"/>
        </w:rPr>
        <w:t>Our ability to grow our business may be adversely affected if we are delayed or unable to successfully develop the products in our pipeline, gain regulatory approval of such product candidates, expand the indications that may be treated by such product candidates, or gain regulatory approval to sell and market such product candidates in additional jurisdictions.</w:t>
      </w:r>
    </w:p>
    <w:p>
      <w:pPr>
        <w:spacing w:after="0" w:line="176" w:lineRule="exact"/>
        <w:rPr>
          <w:sz w:val="20"/>
          <w:szCs w:val="20"/>
          <w:color w:val="auto"/>
        </w:rPr>
      </w:pPr>
    </w:p>
    <w:p>
      <w:pPr>
        <w:ind w:firstLine="584"/>
        <w:spacing w:after="0" w:line="266" w:lineRule="auto"/>
        <w:rPr>
          <w:sz w:val="20"/>
          <w:szCs w:val="20"/>
          <w:color w:val="auto"/>
        </w:rPr>
      </w:pPr>
      <w:r>
        <w:rPr>
          <w:rFonts w:ascii="Times New Roman" w:cs="Times New Roman" w:eastAsia="Times New Roman" w:hAnsi="Times New Roman"/>
          <w:sz w:val="18"/>
          <w:szCs w:val="18"/>
          <w:color w:val="auto"/>
        </w:rPr>
        <w:t>We must also maintain all such regulatory approvals for the period of time that we sell the product in each such jurisdiction. Our failure to obtain, or a delay in obtaining, approval or our failure to maintain approvals once obtained, will prevent us from selling products and generating revenues for those products in such jurisdiction where we do not hold such approvals.</w:t>
      </w:r>
    </w:p>
    <w:p>
      <w:pPr>
        <w:spacing w:after="0" w:line="17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ind w:right="40" w:firstLine="576"/>
        <w:spacing w:after="0" w:line="255" w:lineRule="auto"/>
        <w:rPr>
          <w:sz w:val="20"/>
          <w:szCs w:val="20"/>
          <w:color w:val="auto"/>
        </w:rPr>
      </w:pPr>
      <w:r>
        <w:rPr>
          <w:rFonts w:ascii="Times New Roman" w:cs="Times New Roman" w:eastAsia="Times New Roman" w:hAnsi="Times New Roman"/>
          <w:sz w:val="18"/>
          <w:szCs w:val="18"/>
          <w:color w:val="auto"/>
        </w:rPr>
        <w:t>Assuming that our product candidates prove to be safe and effective in clinical trials, we expect that we will file for marketing approval for such product candidates in the United States and 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regulatory approvals, our target market will be reduced and our ability to realize the full market potential of our product candidates will be harmed and future potential revenue may be less than expected by investors and analysts.</w:t>
      </w:r>
    </w:p>
    <w:p>
      <w:pPr>
        <w:spacing w:after="0" w:line="189" w:lineRule="exact"/>
        <w:rPr>
          <w:sz w:val="20"/>
          <w:szCs w:val="20"/>
          <w:color w:val="auto"/>
        </w:rPr>
      </w:pPr>
    </w:p>
    <w:p>
      <w:pPr>
        <w:ind w:right="180" w:firstLine="576"/>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regulatory approval of a product candidate, comparable regulatory authorities in foreign jurisdictions must also approve the manufacturing, sale, marketing and promotion of the product candidate in those countries. On the other hand, a failure or delay in obtaining regulatory approval in one jurisdiction may have a negative effect on the regulatory approval process in others.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1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51"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from the date of filing, rather than the standard review period of ten months from the date of filing.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5" w:name="page66"/>
    <w:bookmarkEnd w:id="65"/>
    <w:p>
      <w:pPr>
        <w:ind w:right="100"/>
        <w:spacing w:after="0" w:line="282" w:lineRule="auto"/>
        <w:rPr>
          <w:sz w:val="20"/>
          <w:szCs w:val="20"/>
          <w:color w:val="auto"/>
        </w:rPr>
      </w:pPr>
      <w:r>
        <w:rPr>
          <w:rFonts w:ascii="Times New Roman" w:cs="Times New Roman" w:eastAsia="Times New Roman" w:hAnsi="Times New Roman"/>
          <w:sz w:val="18"/>
          <w:szCs w:val="18"/>
          <w:color w:val="auto"/>
        </w:rPr>
        <w:t>approval process or necessarily confer any advantage with respect to approval compared to conventional FDA procedures. Receiving priority review from the FDA does not guarantee approval within the six-month review cycle or at all.</w:t>
      </w:r>
    </w:p>
    <w:p>
      <w:pPr>
        <w:spacing w:after="0" w:line="15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51" w:lineRule="exact"/>
        <w:rPr>
          <w:sz w:val="20"/>
          <w:szCs w:val="20"/>
          <w:color w:val="auto"/>
        </w:rPr>
      </w:pPr>
    </w:p>
    <w:p>
      <w:pPr>
        <w:ind w:right="60" w:firstLine="576"/>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certain of our product candidates, and we may be unsuccessful in obtaining such designation. Regulatory authorities in some jurisdictions, including the United States and Europe, may designate drugs for relatively small patient populations as orphan drugs. Under the Orphan Drug Act, the FDA may designate a drug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 The FDA granted Orphan Drug Designation to TNG462 for the treatment of soft tissue sarcoma and of pancreatic cancer.</w:t>
      </w:r>
    </w:p>
    <w:p>
      <w:pPr>
        <w:spacing w:after="0" w:line="192" w:lineRule="exact"/>
        <w:rPr>
          <w:sz w:val="20"/>
          <w:szCs w:val="20"/>
          <w:color w:val="auto"/>
        </w:rPr>
      </w:pPr>
    </w:p>
    <w:p>
      <w:pPr>
        <w:ind w:right="40" w:firstLine="576"/>
        <w:spacing w:after="0" w:line="255" w:lineRule="auto"/>
        <w:rPr>
          <w:sz w:val="20"/>
          <w:szCs w:val="20"/>
          <w:color w:val="auto"/>
        </w:rPr>
      </w:pPr>
      <w:r>
        <w:rPr>
          <w:rFonts w:ascii="Times New Roman" w:cs="Times New Roman" w:eastAsia="Times New Roman" w:hAnsi="Times New Roman"/>
          <w:sz w:val="18"/>
          <w:szCs w:val="18"/>
          <w:color w:val="auto"/>
        </w:rPr>
        <w:t>Similarly, in the European Union, the European Commission, upon the recommendation of the EMA’s Committee for Orphan Medicinal Products, grants orphan designation in respect of products that are intended for the diagnosis, prevention or treatment of life-threatening or chronically debilitating conditions affecting not more than five in 10,000 persons in the European Union and for which no satisfactory method of diagnosis, prevention, or treatment has been authorized (or the product would be a significant benefit to those affected if a method already exists). Additionally, designation may be granted for products intended for the diagnosis, prevention, or treatment of a life-threatening, seriously debilitating or serious and chronic condition and when, without incentives, it is unlikely that sales of the product in the European Union would be sufficient to justify the necessary investment in developing the product. In the European Union, orphan designation entitles a party to financial incentives such as reduction of fees or fee waivers.</w:t>
      </w:r>
    </w:p>
    <w:p>
      <w:pPr>
        <w:spacing w:after="0" w:line="189" w:lineRule="exact"/>
        <w:rPr>
          <w:sz w:val="20"/>
          <w:szCs w:val="20"/>
          <w:color w:val="auto"/>
        </w:rPr>
      </w:pPr>
    </w:p>
    <w:p>
      <w:pPr>
        <w:ind w:right="100" w:firstLine="576"/>
        <w:spacing w:after="0" w:line="256"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exclusivity period in the European Union can be reduced to six years if, at the end of the fifth year, it is established that a product no longer meets the criteria for orphan designation, including where it is shown that the product is sufficiently profitable so that market exclusivity is no longer justified.</w:t>
      </w:r>
    </w:p>
    <w:p>
      <w:pPr>
        <w:spacing w:after="0" w:line="187"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Obtaining orphan drug exclusivity may not effectively protect a product candidate from competition because different products having different chemical compositions can be approved for the same condition and the same therapies can be approved for different conditions but used off-label. Even after an orphan drug is approved, the FDA can subsequently approve the same product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Orphan drug designation neither shortens the development time or regulatory review time of a product nor gives the product any advantage in the regulatory review or approval process. While we may seek orphan drug designation for our other product candidates, we may never receive such designations. Even if we do receive such designations, there is no guarantee that we will enjoy the benefits of those designations.</w:t>
      </w:r>
    </w:p>
    <w:p>
      <w:pPr>
        <w:spacing w:after="0" w:line="19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67" w:lineRule="exact"/>
        <w:rPr>
          <w:sz w:val="20"/>
          <w:szCs w:val="20"/>
          <w:color w:val="auto"/>
        </w:rPr>
      </w:pPr>
    </w:p>
    <w:p>
      <w:pPr>
        <w:ind w:right="20" w:firstLine="576"/>
        <w:spacing w:after="0" w:line="255" w:lineRule="auto"/>
        <w:rPr>
          <w:sz w:val="20"/>
          <w:szCs w:val="20"/>
          <w:color w:val="auto"/>
        </w:rPr>
      </w:pPr>
      <w:r>
        <w:rPr>
          <w:rFonts w:ascii="Times New Roman" w:cs="Times New Roman" w:eastAsia="Times New Roman" w:hAnsi="Times New Roman"/>
          <w:sz w:val="18"/>
          <w:szCs w:val="18"/>
          <w:color w:val="auto"/>
        </w:rPr>
        <w:t>We may seek a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may also be eligible for priority review and accelerated</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6" w:name="page67"/>
    <w:bookmarkEnd w:id="66"/>
    <w:p>
      <w:pPr>
        <w:spacing w:after="0" w:line="256" w:lineRule="auto"/>
        <w:rPr>
          <w:sz w:val="20"/>
          <w:szCs w:val="20"/>
          <w:color w:val="auto"/>
        </w:rPr>
      </w:pPr>
      <w:r>
        <w:rPr>
          <w:rFonts w:ascii="Times New Roman" w:cs="Times New Roman" w:eastAsia="Times New Roman" w:hAnsi="Times New Roman"/>
          <w:sz w:val="18"/>
          <w:szCs w:val="18"/>
          <w:color w:val="auto"/>
        </w:rPr>
        <w:t>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and rescind the designation or decide that the time period for FDA review or approval will not be shortened.</w:t>
      </w:r>
    </w:p>
    <w:p>
      <w:pPr>
        <w:spacing w:after="0" w:line="187"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If a drug is intended for the treatment of a serious or life-threatening condition and preclinical or clinical data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accelerated approval of our current or future product candidates using the FDA’s accelerated approval pathway. 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67" w:lineRule="exact"/>
        <w:rPr>
          <w:sz w:val="20"/>
          <w:szCs w:val="20"/>
          <w:color w:val="auto"/>
        </w:rPr>
      </w:pPr>
    </w:p>
    <w:p>
      <w:pPr>
        <w:ind w:right="60" w:firstLine="576"/>
        <w:spacing w:after="0" w:line="252" w:lineRule="auto"/>
        <w:rPr>
          <w:sz w:val="20"/>
          <w:szCs w:val="20"/>
          <w:color w:val="auto"/>
        </w:rPr>
      </w:pPr>
      <w:r>
        <w:rPr>
          <w:rFonts w:ascii="Times New Roman" w:cs="Times New Roman" w:eastAsia="Times New Roman" w:hAnsi="Times New Roman"/>
          <w:sz w:val="18"/>
          <w:szCs w:val="18"/>
          <w:color w:val="auto"/>
        </w:rPr>
        <w:t>We may seek accelerated approval of our current or future product candidates, where applicable,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receiving accelerated approval perform adequate and well-controlled post-marketing clinical trials. These confirmatory trials must be completed with due diligence. Under the Food and Drug Omnibus Reform Act of 2022, or FDORA, the FDA is permitted to require that a post-approval confirmatory study or studies be under way prior to approval or, in limited circumstances, within a specified time period after the date accelerated approval was granted.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Even if we do receive accelerated approval, we may not experience a faster development or regulatory review or approval process, and receiving accelerated approval does not provide assurance of traditional FDA approval.</w:t>
      </w:r>
    </w:p>
    <w:p>
      <w:pPr>
        <w:spacing w:after="0" w:line="18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51" w:lineRule="exact"/>
        <w:rPr>
          <w:sz w:val="20"/>
          <w:szCs w:val="20"/>
          <w:color w:val="auto"/>
        </w:rPr>
      </w:pPr>
    </w:p>
    <w:p>
      <w:pPr>
        <w:ind w:right="100" w:firstLine="576"/>
        <w:spacing w:after="0" w:line="253" w:lineRule="auto"/>
        <w:rPr>
          <w:sz w:val="20"/>
          <w:szCs w:val="20"/>
          <w:color w:val="auto"/>
        </w:rPr>
      </w:pPr>
      <w:r>
        <w:rPr>
          <w:rFonts w:ascii="Times New Roman" w:cs="Times New Roman" w:eastAsia="Times New Roman" w:hAnsi="Times New Roman"/>
          <w:sz w:val="18"/>
          <w:szCs w:val="18"/>
          <w:color w:val="auto"/>
        </w:rPr>
        <w:t>The FDA, the EMA and regulatory authorities in other countries have expressed interest in further regulating biotechnology products. Agencies at both the federal and state level in the United States, as well as U.S. Congressional committees and other governments or governing agencies, have also expressed interest in further regulating the biotechnology industry and the pharmaceutical industry, in particular. Such governmental action or actions may delay or prevent commercialization of some or all of our product candidates. Adverse developments in clinical trials of products conducted by us or by others may cause the FDA or other oversight bodies to change the requirements for conducting clinical trials or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jc w:val="both"/>
        <w:spacing w:after="0" w:line="312" w:lineRule="auto"/>
        <w:rPr>
          <w:sz w:val="20"/>
          <w:szCs w:val="20"/>
          <w:color w:val="auto"/>
        </w:rPr>
      </w:pPr>
      <w:r>
        <w:rPr>
          <w:rFonts w:ascii="Times New Roman" w:cs="Times New Roman" w:eastAsia="Times New Roman" w:hAnsi="Times New Roman"/>
          <w:sz w:val="17"/>
          <w:szCs w:val="17"/>
          <w:color w:val="auto"/>
        </w:rPr>
        <w:t>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19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U.S. government agencies or the EMA or comparable foreign regulatory authorities, including from government shut downs, or other disruptions to these agencies’ operations, including significant leadership, personnel, and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The ability of the FDA, the EMA or comparable foreign regulatory authorities to review and approve new products can be affected by a variety of factors, including government priorities and funding levels, ability to hire and retain key personnel and accept the payment of user fees, and enact statutory, regulatory and policy changes. Average review times at the FDA or other regulatory authorities have fluctuated in recent years as a result. Disruptions at the FDA and other agencies may also slow the time necessary for new product candidates to be reviewed and/or approved by necessary government agencies, which would adversely affect our business.</w:t>
      </w:r>
    </w:p>
    <w:p>
      <w:pPr>
        <w:spacing w:after="0" w:line="183" w:lineRule="exact"/>
        <w:rPr>
          <w:sz w:val="20"/>
          <w:szCs w:val="20"/>
          <w:color w:val="auto"/>
        </w:rPr>
      </w:pPr>
    </w:p>
    <w:p>
      <w:pPr>
        <w:ind w:right="300" w:firstLine="576"/>
        <w:spacing w:after="0" w:line="266" w:lineRule="auto"/>
        <w:rPr>
          <w:sz w:val="20"/>
          <w:szCs w:val="20"/>
          <w:color w:val="auto"/>
        </w:rPr>
      </w:pPr>
      <w:r>
        <w:rPr>
          <w:rFonts w:ascii="Times New Roman" w:cs="Times New Roman" w:eastAsia="Times New Roman" w:hAnsi="Times New Roman"/>
          <w:sz w:val="18"/>
          <w:szCs w:val="18"/>
          <w:color w:val="auto"/>
        </w:rPr>
        <w:t>In addition, government funding of the SEC and other government agencies on which our operations may rely, and those that fund research and development activities that is required by third parties we enter into agreements with, is subject to the political process, which is inherently fluid and unpredictable.</w:t>
      </w:r>
    </w:p>
    <w:p>
      <w:pPr>
        <w:spacing w:after="0" w:line="176"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Disruptions at the FDA, the EMA and other agencies may also slow the time necessary for new product candidates to be reviewed and/or approved by necessary government agencies, which would adversely affect our business. Currently, federal agencies in the U.S. are operating under a continuing resolution that is set to expire on March 14, 2025. For example, in prior years the U.S. government has shut down several times and certain regulatory agencies, such as the FDA and the SEC, have had to furlough critical FDA, SEC and other government employees and stop critical activities. A prolonged government shutdown, significant leadership, personnel, and/or policy changes, or other substantial modification in agency activities (including due to global health concerns, the aims of the Trump administration, or geopolitical factors) could significantly impact the ability of the FDA to timely review and process our regulatory submissions, which could have a material adverse effect on our business.</w:t>
      </w:r>
    </w:p>
    <w:p>
      <w:pPr>
        <w:spacing w:after="0" w:line="189" w:lineRule="exact"/>
        <w:rPr>
          <w:sz w:val="20"/>
          <w:szCs w:val="20"/>
          <w:color w:val="auto"/>
        </w:rPr>
      </w:pPr>
    </w:p>
    <w:p>
      <w:pPr>
        <w:ind w:right="400" w:firstLine="576"/>
        <w:spacing w:after="0" w:line="282" w:lineRule="auto"/>
        <w:rPr>
          <w:sz w:val="20"/>
          <w:szCs w:val="20"/>
          <w:color w:val="auto"/>
        </w:rPr>
      </w:pPr>
      <w:r>
        <w:rPr>
          <w:rFonts w:ascii="Times New Roman" w:cs="Times New Roman" w:eastAsia="Times New Roman" w:hAnsi="Times New Roman"/>
          <w:sz w:val="18"/>
          <w:szCs w:val="18"/>
          <w:color w:val="auto"/>
        </w:rPr>
        <w:t>Further, in our operations as a public company, future government shutdowns could impact our ability to access the public markets and obtain necessary capital in order to properly capitalize and continue our operations.</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regulatory policies may change, and additional government regulations may be enacted that could prevent, limit or delay regulatory approval of our product candidates.</w:t>
      </w:r>
    </w:p>
    <w:p>
      <w:pPr>
        <w:spacing w:after="0" w:line="15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June 2024, the U.S. Supreme Court overruled the Chevron doctrine, which gives deference to regulatory agencies’ statutory interpretations in litigation against federal government agencies, such as the FDA, where the law is ambiguous. This decision may result in more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21" w:lineRule="exact"/>
        <w:rPr>
          <w:sz w:val="20"/>
          <w:szCs w:val="20"/>
          <w:color w:val="auto"/>
        </w:rPr>
      </w:pPr>
    </w:p>
    <w:p>
      <w:pPr>
        <w:ind w:right="20" w:firstLine="576"/>
        <w:spacing w:after="0" w:line="256"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and statutes could impact our business in the future by requiring, for example: (i) changes to our manufacturing arrangements; (ii) changes to the method in which drug prices are determined for Medicare and Medicaid participants or other potential patients in the U.S. (or by which drug prices are determined in other countries and regions), (iii) additions or modifications to product labeling (if, and when, a product is approved for sale); (iv) the recall or discontinuation of our products (if any products are approved by applicable regulatory authorities); or (v) additional record-keeping requirements. If any such changes were to be imposed, they could adversely affect the operation of our business. For additional information, see the section entitled “Business – Current and future healthcare reform legislation.”</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8" w:name="page69"/>
    <w:bookmarkEnd w:id="68"/>
    <w:p>
      <w:pPr>
        <w:ind w:right="480" w:firstLine="584"/>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pharmacy benefit managers, managed care organizations and other payers of healthcare services to contain or reduce costs of healthcare may adversely affect: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demand for any of our product candidates, if approved;</w:t>
      </w:r>
    </w:p>
    <w:p>
      <w:pPr>
        <w:spacing w:after="0" w:line="27" w:lineRule="exact"/>
        <w:rPr>
          <w:sz w:val="20"/>
          <w:szCs w:val="20"/>
          <w:color w:val="auto"/>
        </w:rPr>
      </w:pPr>
    </w:p>
    <w:p>
      <w:pPr>
        <w:ind w:left="240" w:right="4320"/>
        <w:spacing w:after="0" w:line="250" w:lineRule="auto"/>
        <w:rPr>
          <w:sz w:val="20"/>
          <w:szCs w:val="20"/>
          <w:color w:val="auto"/>
        </w:rPr>
      </w:pPr>
      <w:r>
        <w:rPr>
          <w:rFonts w:ascii="Times New Roman" w:cs="Times New Roman" w:eastAsia="Times New Roman" w:hAnsi="Times New Roman"/>
          <w:sz w:val="18"/>
          <w:szCs w:val="18"/>
          <w:color w:val="auto"/>
        </w:rPr>
        <w:t>the ability to set a price that we believe is fair for any of our product candidates, if approved; our ability to generate revenues and achieve or maintain profitability;</w:t>
      </w:r>
    </w:p>
    <w:p>
      <w:pPr>
        <w:ind w:left="240" w:right="7460"/>
        <w:spacing w:after="0" w:line="260" w:lineRule="auto"/>
        <w:rPr>
          <w:sz w:val="20"/>
          <w:szCs w:val="20"/>
          <w:color w:val="auto"/>
        </w:rPr>
      </w:pPr>
      <w:r>
        <w:rPr>
          <w:rFonts w:ascii="Times New Roman" w:cs="Times New Roman" w:eastAsia="Times New Roman" w:hAnsi="Times New Roman"/>
          <w:sz w:val="18"/>
          <w:szCs w:val="18"/>
          <w:color w:val="auto"/>
        </w:rPr>
        <w:t>the level of taxes that we are required to pay; and the availability of capital.</w:t>
      </w:r>
    </w:p>
    <w:p>
      <w:pPr>
        <w:spacing w:after="0" w:line="181" w:lineRule="exact"/>
        <w:rPr>
          <w:sz w:val="20"/>
          <w:szCs w:val="20"/>
          <w:color w:val="auto"/>
        </w:rPr>
      </w:pPr>
    </w:p>
    <w:p>
      <w:pPr>
        <w:jc w:val="both"/>
        <w:ind w:right="20" w:firstLine="576"/>
        <w:spacing w:after="0" w:line="261" w:lineRule="auto"/>
        <w:rPr>
          <w:sz w:val="20"/>
          <w:szCs w:val="20"/>
          <w:color w:val="auto"/>
        </w:rPr>
      </w:pPr>
      <w:r>
        <w:rPr>
          <w:rFonts w:ascii="Times New Roman" w:cs="Times New Roman" w:eastAsia="Times New Roman" w:hAnsi="Times New Roman"/>
          <w:sz w:val="18"/>
          <w:szCs w:val="18"/>
          <w:color w:val="auto"/>
        </w:rPr>
        <w:t>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0" w:lineRule="exact"/>
        <w:rPr>
          <w:sz w:val="20"/>
          <w:szCs w:val="20"/>
          <w:color w:val="auto"/>
        </w:rPr>
      </w:pPr>
    </w:p>
    <w:p>
      <w:pPr>
        <w:ind w:right="20" w:firstLine="576"/>
        <w:spacing w:after="0" w:line="255"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or IRA, which, among other provisions, included several measures intended to lower the cost of prescription drugs and related healthcare reforms. This includes a provision that small molecule drugs can be chosen for price setting seven years after first approved by the FDA with the set price taking effect two years later, only nine years after the medicine was initially approved. This is far earlier than the time before small molecule medicines typically face generic competition. As a result, if we were to have one or more of our small molecule drugs approved by the FDA, under the IRA, we could be forced to sell our products at a lower price for CMS programs for several years earlier than would otherwise be the case. In addition, because this could result in lower future cash flows in those years, the valuation of the company could be negatively impacted.</w:t>
      </w:r>
    </w:p>
    <w:p>
      <w:pPr>
        <w:spacing w:after="0" w:line="189" w:lineRule="exact"/>
        <w:rPr>
          <w:sz w:val="20"/>
          <w:szCs w:val="20"/>
          <w:color w:val="auto"/>
        </w:rPr>
      </w:pPr>
    </w:p>
    <w:p>
      <w:pPr>
        <w:ind w:right="200" w:firstLine="576"/>
        <w:spacing w:after="0" w:line="258" w:lineRule="auto"/>
        <w:rPr>
          <w:sz w:val="20"/>
          <w:szCs w:val="20"/>
          <w:color w:val="auto"/>
        </w:rPr>
      </w:pPr>
      <w:r>
        <w:rPr>
          <w:rFonts w:ascii="Times New Roman" w:cs="Times New Roman" w:eastAsia="Times New Roman" w:hAnsi="Times New Roman"/>
          <w:sz w:val="18"/>
          <w:szCs w:val="18"/>
          <w:color w:val="auto"/>
        </w:rPr>
        <w:t>Further, reductions in reimbursement from Medicare and other government programs may also result in reductions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implemented regulations designed to encourage importation of drugs from other countries and bulk purchasing.</w:t>
      </w:r>
    </w:p>
    <w:p>
      <w:pPr>
        <w:spacing w:after="0" w:line="183" w:lineRule="exact"/>
        <w:rPr>
          <w:sz w:val="20"/>
          <w:szCs w:val="20"/>
          <w:color w:val="auto"/>
        </w:rPr>
      </w:pPr>
    </w:p>
    <w:p>
      <w:pPr>
        <w:ind w:right="100" w:firstLine="576"/>
        <w:spacing w:after="0" w:line="256" w:lineRule="auto"/>
        <w:rPr>
          <w:sz w:val="20"/>
          <w:szCs w:val="20"/>
          <w:color w:val="auto"/>
        </w:rPr>
      </w:pPr>
      <w:r>
        <w:rPr>
          <w:rFonts w:ascii="Times New Roman" w:cs="Times New Roman" w:eastAsia="Times New Roman" w:hAnsi="Times New Roman"/>
          <w:sz w:val="18"/>
          <w:szCs w:val="18"/>
          <w:color w:val="auto"/>
        </w:rPr>
        <w:t>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87" w:lineRule="exact"/>
        <w:rPr>
          <w:sz w:val="20"/>
          <w:szCs w:val="20"/>
          <w:color w:val="auto"/>
        </w:rPr>
      </w:pPr>
    </w:p>
    <w:p>
      <w:pPr>
        <w:ind w:right="80" w:firstLine="576"/>
        <w:spacing w:after="0" w:line="258" w:lineRule="auto"/>
        <w:rPr>
          <w:sz w:val="20"/>
          <w:szCs w:val="20"/>
          <w:color w:val="auto"/>
        </w:rPr>
      </w:pPr>
      <w:r>
        <w:rPr>
          <w:rFonts w:ascii="Times New Roman" w:cs="Times New Roman" w:eastAsia="Times New Roman" w:hAnsi="Times New Roman"/>
          <w:sz w:val="18"/>
          <w:szCs w:val="18"/>
          <w:color w:val="auto"/>
        </w:rPr>
        <w:t>We expect that additional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Additionally, we expect to experience pricing pressures in connection with the sale of any future approved product candidates due to the trend toward managed healthcare, including pharmacy benefit managers, the increasing influence of health maintenance organizations, cost containment initiatives and additional legislative changes.</w:t>
      </w:r>
    </w:p>
    <w:p>
      <w:pPr>
        <w:spacing w:after="0" w:line="179"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drugs and decrease our ability to generate revenue.</w:t>
      </w:r>
    </w:p>
    <w:p>
      <w:pPr>
        <w:spacing w:after="0" w:line="67" w:lineRule="exact"/>
        <w:rPr>
          <w:sz w:val="20"/>
          <w:szCs w:val="20"/>
          <w:color w:val="auto"/>
        </w:rPr>
      </w:pPr>
    </w:p>
    <w:p>
      <w:pPr>
        <w:ind w:firstLine="584"/>
        <w:spacing w:after="0" w:line="258" w:lineRule="auto"/>
        <w:rPr>
          <w:sz w:val="20"/>
          <w:szCs w:val="20"/>
          <w:color w:val="auto"/>
        </w:rPr>
      </w:pPr>
      <w:r>
        <w:rPr>
          <w:rFonts w:ascii="Times New Roman" w:cs="Times New Roman" w:eastAsia="Times New Roman" w:hAnsi="Times New Roman"/>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For more information regarding insurance coverage and reimbursement please see “Business – Government Regulation – Insurance Coverage and Reimbursement.”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9" w:name="page70"/>
    <w:bookmarkEnd w:id="69"/>
    <w:p>
      <w:pPr>
        <w:ind w:right="80" w:firstLine="576"/>
        <w:spacing w:after="0" w:line="266" w:lineRule="auto"/>
        <w:rPr>
          <w:sz w:val="20"/>
          <w:szCs w:val="20"/>
          <w:color w:val="auto"/>
        </w:rPr>
      </w:pPr>
      <w:r>
        <w:rPr>
          <w:rFonts w:ascii="Times New Roman" w:cs="Times New Roman" w:eastAsia="Times New Roman" w:hAnsi="Times New Roman"/>
          <w:sz w:val="18"/>
          <w:szCs w:val="18"/>
          <w:color w:val="auto"/>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68" w:lineRule="exact"/>
        <w:rPr>
          <w:sz w:val="20"/>
          <w:szCs w:val="20"/>
          <w:color w:val="auto"/>
        </w:rPr>
      </w:pPr>
    </w:p>
    <w:p>
      <w:pPr>
        <w:ind w:left="240" w:right="8140"/>
        <w:spacing w:after="0" w:line="272" w:lineRule="auto"/>
        <w:rPr>
          <w:sz w:val="20"/>
          <w:szCs w:val="20"/>
          <w:color w:val="auto"/>
        </w:rPr>
      </w:pPr>
      <w:r>
        <w:rPr>
          <w:rFonts w:ascii="Times New Roman" w:cs="Times New Roman" w:eastAsia="Times New Roman" w:hAnsi="Times New Roman"/>
          <w:sz w:val="17"/>
          <w:szCs w:val="17"/>
          <w:color w:val="auto"/>
        </w:rPr>
        <w:t>a covered benefit under its health plan; safe, effective and medically necessary; appropriate for the specific patient;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cost-effective;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experimental nor investigational.</w:t>
      </w:r>
    </w:p>
    <w:p>
      <w:pPr>
        <w:spacing w:after="0" w:line="207" w:lineRule="exact"/>
        <w:rPr>
          <w:sz w:val="20"/>
          <w:szCs w:val="20"/>
          <w:color w:val="auto"/>
        </w:rPr>
      </w:pPr>
    </w:p>
    <w:p>
      <w:pPr>
        <w:ind w:right="240" w:firstLine="576"/>
        <w:spacing w:after="0" w:line="261" w:lineRule="auto"/>
        <w:rPr>
          <w:sz w:val="20"/>
          <w:szCs w:val="20"/>
          <w:color w:val="auto"/>
        </w:rPr>
      </w:pPr>
      <w:r>
        <w:rPr>
          <w:rFonts w:ascii="Times New Roman" w:cs="Times New Roman" w:eastAsia="Times New Roman" w:hAnsi="Times New Roman"/>
          <w:sz w:val="18"/>
          <w:szCs w:val="18"/>
          <w:color w:val="auto"/>
        </w:rPr>
        <w:t>Even if we obtain coverage for our product candidates by a third-party payor, the resulting reimbursement payment rates may not be adequate or may require co-payments that patients find unacceptably high. We cannot be sure that coverage and reimbursement in the U.S., the European Union or elsewhere will be available for our product candidates or any product that we may develop, and any reimbursement that may become available may be decreased or eliminated in the future.</w:t>
      </w:r>
    </w:p>
    <w:p>
      <w:pPr>
        <w:spacing w:after="0" w:line="180"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newly-approved products. In the U.S., third-party payors, and governmental healthcare plans, such as the Medicare and Medicaid programs, play an important role in determining the extent to which new drugs and biologics will be covered. The Medicare and Medicaid programs increasingly are used as models in the U.S.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our product candidates. Outside the U.S., international operations are generally subject to extensive governmental price controls and other market regulations, and we believe the increasing emphasis on cost-containment initiatives in Europe and other foreign jurisdictions will put pressure on the pricing and usage of our product candidates (if approved by regulators).</w:t>
      </w:r>
    </w:p>
    <w:p>
      <w:pPr>
        <w:spacing w:after="0" w:line="192" w:lineRule="exact"/>
        <w:rPr>
          <w:sz w:val="20"/>
          <w:szCs w:val="20"/>
          <w:color w:val="auto"/>
        </w:rPr>
      </w:pPr>
    </w:p>
    <w:p>
      <w:pPr>
        <w:ind w:right="120" w:firstLine="576"/>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183"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67" w:lineRule="exact"/>
        <w:rPr>
          <w:sz w:val="20"/>
          <w:szCs w:val="20"/>
          <w:color w:val="auto"/>
        </w:rPr>
      </w:pPr>
    </w:p>
    <w:p>
      <w:pPr>
        <w:ind w:right="20" w:firstLine="576"/>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may obtain regulatory approval. Our future arrangements with third-party payors, healthcare providers,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See the section entitled “</w:t>
      </w:r>
      <w:r>
        <w:rPr>
          <w:rFonts w:ascii="Times New Roman" w:cs="Times New Roman" w:eastAsia="Times New Roman" w:hAnsi="Times New Roman"/>
          <w:sz w:val="18"/>
          <w:szCs w:val="18"/>
          <w:i w:val="1"/>
          <w:iCs w:val="1"/>
          <w:color w:val="auto"/>
        </w:rPr>
        <w:t>Business – Other healthcare laws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future sales of our product candidates (following regulatory approval of such therapy) by us or third-parties that we engage, were to be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 and imprisonment. Further, defending against any such actions can be costly and time consuming, and may require significant financial and personnel</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0" w:name="page71"/>
    <w:bookmarkEnd w:id="70"/>
    <w:p>
      <w:pPr>
        <w:ind w:right="100"/>
        <w:spacing w:after="0" w:line="282" w:lineRule="auto"/>
        <w:rPr>
          <w:sz w:val="20"/>
          <w:szCs w:val="20"/>
          <w:color w:val="auto"/>
        </w:rPr>
      </w:pPr>
      <w:r>
        <w:rPr>
          <w:rFonts w:ascii="Times New Roman" w:cs="Times New Roman" w:eastAsia="Times New Roman" w:hAnsi="Times New Roman"/>
          <w:sz w:val="18"/>
          <w:szCs w:val="18"/>
          <w:color w:val="auto"/>
        </w:rPr>
        <w:t>resources. Therefore, even if we are successful in defending against any such actions that may be brought against us, our business may be impaired. If any of the above occur, our ability to operate our business and our results of operations could be adversely affected.</w:t>
      </w:r>
    </w:p>
    <w:p>
      <w:pPr>
        <w:spacing w:after="0" w:line="15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appropriately licensed and permitted third parties for the disposal of these materials and wastes. We cannot, however,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7"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72" w:lineRule="exact"/>
        <w:rPr>
          <w:sz w:val="20"/>
          <w:szCs w:val="20"/>
          <w:color w:val="auto"/>
        </w:rPr>
      </w:pPr>
    </w:p>
    <w:p>
      <w:pPr>
        <w:ind w:right="140" w:firstLine="584"/>
        <w:spacing w:after="0" w:line="252"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require surveillance to monitor the safety and efficacy of the product candidate. 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 and GCPs for any clinical trials that we conduct post-approval and pharmacovigilance reporting obligations. Manufacturers and other entities involved in the manufacture and distribution of approved drugs, and those supplying products, ingredients, and components of them, are required to register their establishments with the FDA and certain state agencies, and are subject to periodic announced and unannounced inspections by the FDA and certain state agencies for compliance with cGMP requirements and other regulatory requirements, including applicable product tracking and tracing requirements.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include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8" w:lineRule="exact"/>
        <w:rPr>
          <w:sz w:val="20"/>
          <w:szCs w:val="20"/>
          <w:color w:val="auto"/>
        </w:rPr>
      </w:pPr>
    </w:p>
    <w:p>
      <w:pPr>
        <w:ind w:left="240" w:right="280"/>
        <w:spacing w:after="0" w:line="261" w:lineRule="auto"/>
        <w:rPr>
          <w:sz w:val="20"/>
          <w:szCs w:val="20"/>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 manufacturing delays and supply disruptions where regulatory inspections identify observations of noncompliance requiring remediation;</w:t>
      </w:r>
    </w:p>
    <w:p>
      <w:pPr>
        <w:ind w:right="340" w:firstLine="230"/>
        <w:spacing w:after="0" w:line="250" w:lineRule="auto"/>
        <w:rPr>
          <w:sz w:val="20"/>
          <w:szCs w:val="20"/>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rPr>
          <w:sz w:val="20"/>
          <w:szCs w:val="20"/>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9" w:lineRule="exact"/>
        <w:rPr>
          <w:sz w:val="20"/>
          <w:szCs w:val="20"/>
          <w:color w:val="auto"/>
        </w:rPr>
      </w:pPr>
    </w:p>
    <w:p>
      <w:pPr>
        <w:ind w:left="240" w:right="4080"/>
        <w:spacing w:after="0" w:line="250" w:lineRule="auto"/>
        <w:rPr>
          <w:sz w:val="20"/>
          <w:szCs w:val="20"/>
          <w:color w:val="auto"/>
        </w:rPr>
      </w:pPr>
      <w:r>
        <w:rPr>
          <w:rFonts w:ascii="Times New Roman" w:cs="Times New Roman" w:eastAsia="Times New Roman" w:hAnsi="Times New Roman"/>
          <w:sz w:val="18"/>
          <w:szCs w:val="18"/>
          <w:color w:val="auto"/>
        </w:rPr>
        <w:t>requirements to conduct additional post-market clinical trials to assess the safety of the product; clinical trial holds;</w:t>
      </w:r>
    </w:p>
    <w:p>
      <w:pPr>
        <w:spacing w:after="0"/>
        <w:rPr>
          <w:sz w:val="20"/>
          <w:szCs w:val="20"/>
          <w:color w:val="auto"/>
        </w:rPr>
      </w:pPr>
      <w:r>
        <w:rPr>
          <w:rFonts w:ascii="Times New Roman" w:cs="Times New Roman" w:eastAsia="Times New Roman" w:hAnsi="Times New Roman"/>
          <w:sz w:val="18"/>
          <w:szCs w:val="18"/>
          <w:color w:val="auto"/>
        </w:rPr>
        <w:t>fines, warning letters or other regulatory enforcement action;</w:t>
      </w:r>
    </w:p>
    <w:p>
      <w:pPr>
        <w:spacing w:after="0" w:line="9" w:lineRule="exact"/>
        <w:rPr>
          <w:sz w:val="20"/>
          <w:szCs w:val="20"/>
          <w:color w:val="auto"/>
        </w:rPr>
      </w:pPr>
    </w:p>
    <w:p>
      <w:pPr>
        <w:ind w:left="240" w:right="480"/>
        <w:spacing w:after="0" w:line="260" w:lineRule="auto"/>
        <w:rPr>
          <w:sz w:val="20"/>
          <w:szCs w:val="20"/>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 product seizure or detention, or refusal to permit the import or export of products; and</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governmental laws or regulations may be enacted that could prevent, limit or delay regulatory approval of our product candidates. In addition, FDA guidance and policies are often revised or reinterpreted by the agency in ways that may significantly affect the manner in which drug products are regulated and marketed.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use, processing and cross-border transfer of personal information.</w:t>
      </w:r>
    </w:p>
    <w:p>
      <w:pPr>
        <w:spacing w:after="0" w:line="121"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We are conducting and plan to conduct additional clinical trials and enroll subjects in our current or future clinical trials in the U.S. and Europe (and elsewhere), and therefore we will be subject to privacy restrictions. The collection, use, storage, disclosure, transfer, or other processing of personal data regarding individuals in the EEA, including personal health data, is subject to the EU GDPR and similarly, processing of personal data regarding individuals in the UK is subject to the UK General Data Protection Regulation and the UK Data Protection Act 2018, or UK GDPR (and together with the EU GDPR, the GDPR). The GDPR is wide-ranging in scope and imposes numerous requirements on companies that process personal data, including strict requirements relating to processing health and other sensitive data, ensuring that there is a legal basis or condition to justify the processing of personal data, stringent requirements relating to the consent of the individuals to whom the personal data relates (where applicable), providing information to individuals regarding data processing activities, implementing safeguards to protect the security and confidentiality of personal data, providing notification of data breaches, and taking certain measures when engaging third-party processors.</w:t>
      </w:r>
    </w:p>
    <w:p>
      <w:pPr>
        <w:spacing w:after="0" w:line="188" w:lineRule="exact"/>
        <w:rPr>
          <w:sz w:val="20"/>
          <w:szCs w:val="20"/>
          <w:color w:val="auto"/>
        </w:rPr>
      </w:pPr>
    </w:p>
    <w:p>
      <w:pPr>
        <w:ind w:right="20" w:firstLine="576"/>
        <w:spacing w:after="0" w:line="256"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outside of the EEA and UK to countries that do not ensure an adequate level of protection, like the United States in certain circumstances unless a valid GDPR transfer mechanism (for example, the European Commission approved Standard Contractual Clauses, or SCCs, and the UK International Data Transfer Agreement/Addendum, or UK IDTA) has been put in place). Where relying on the SCCs or UK IDTA for data transfers, we may also be required to carry out transfer impact assessments to assess whether the recipient is subject to local laws which allow public authority access to personal data. Any inability to transfer personal data from the EEA and UK to the United States in compliance with data protection laws may impede our ability to conduct trials and may adversely affect our business and financial position.</w:t>
      </w:r>
    </w:p>
    <w:p>
      <w:pPr>
        <w:spacing w:after="0" w:line="187" w:lineRule="exact"/>
        <w:rPr>
          <w:sz w:val="20"/>
          <w:szCs w:val="20"/>
          <w:color w:val="auto"/>
        </w:rPr>
      </w:pPr>
    </w:p>
    <w:p>
      <w:pPr>
        <w:ind w:right="60" w:firstLine="576"/>
        <w:spacing w:after="0" w:line="254" w:lineRule="auto"/>
        <w:rPr>
          <w:sz w:val="20"/>
          <w:szCs w:val="20"/>
          <w:color w:val="auto"/>
        </w:rPr>
      </w:pPr>
      <w:r>
        <w:rPr>
          <w:rFonts w:ascii="Times New Roman" w:cs="Times New Roman" w:eastAsia="Times New Roman" w:hAnsi="Times New Roman"/>
          <w:sz w:val="18"/>
          <w:szCs w:val="18"/>
          <w:color w:val="auto"/>
        </w:rPr>
        <w:t>Failure to comply with the GDPR, and any supplemental EEA Member State or UK national data protection laws which may apply by virtue of the location of the individuals whose personal data we collect, may result in substantial penalties to which we could be subject in the event of any non-compliance, including potential fines of up to the greater of €20 million (£17.5 million under the UK GDPR) or up to 4% of our total worldwide annual turnover for more serious offenses. The GDPR also confers a private right of action on data subjects and consumer associations to lodge complaints with supervisory authorities, seek judicial remedies, and obtain compensation for damages resulting from violations of the GDPR. While we have implemented procedures to comply with the GDPR, maintaining ongoing compliance with these regulations will be a rigorous and time-intensive process that we expect will increase our cost of doing business and require us to continue to change certain of our business practices, and despite those efforts, there is a risk that we may be subject to fines and penalties, litigation, and reputational harm in connection with our European activities. Further, many countries interpret the application of the provisions of the EU GDPR in a different manner, making compliance in certain countries and across the EEA challenging.</w:t>
      </w:r>
    </w:p>
    <w:p>
      <w:pPr>
        <w:spacing w:after="0" w:line="188" w:lineRule="exact"/>
        <w:rPr>
          <w:sz w:val="20"/>
          <w:szCs w:val="20"/>
          <w:color w:val="auto"/>
        </w:rPr>
      </w:pPr>
    </w:p>
    <w:p>
      <w:pPr>
        <w:ind w:right="80" w:firstLine="576"/>
        <w:spacing w:after="0" w:line="253" w:lineRule="auto"/>
        <w:rPr>
          <w:sz w:val="20"/>
          <w:szCs w:val="20"/>
          <w:color w:val="auto"/>
        </w:rPr>
      </w:pPr>
      <w:r>
        <w:rPr>
          <w:rFonts w:ascii="Times New Roman" w:cs="Times New Roman" w:eastAsia="Times New Roman" w:hAnsi="Times New Roman"/>
          <w:sz w:val="18"/>
          <w:szCs w:val="18"/>
          <w:color w:val="auto"/>
        </w:rPr>
        <w:t>The UK’s data protection regime is independent from but aligned to the EU’s data protection regime. Although the UK is regarded as a third country under the EU’s GDPR, the European Commission has issued a decision recognizing the UK as providing adequate protection under the EU GDPR (Adequacy Decision) and, therefore, transfers of personal data originating in the EEA to the UK remain unrestricted. The UK government has confirmed that personal data transfers from the UK to the EEA remain free flowing. However, the UK government is planning to reform its data protection law with the Data (Use and Access) Bill, which it introduced to Parliament on October 24, 2024. If passed, the final version of the UK Bill may have the effect of further altering the similarities between the UK and EEA data protection regime and threaten the UK adequacy decision from the European Commission.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51" w:lineRule="exact"/>
        <w:rPr>
          <w:sz w:val="20"/>
          <w:szCs w:val="20"/>
          <w:color w:val="auto"/>
        </w:rPr>
      </w:pPr>
    </w:p>
    <w:p>
      <w:pPr>
        <w:ind w:right="20" w:firstLine="576"/>
        <w:spacing w:after="0" w:line="255" w:lineRule="auto"/>
        <w:rPr>
          <w:sz w:val="20"/>
          <w:szCs w:val="20"/>
          <w:color w:val="auto"/>
        </w:rPr>
      </w:pPr>
      <w:r>
        <w:rPr>
          <w:rFonts w:ascii="Times New Roman" w:cs="Times New Roman" w:eastAsia="Times New Roman" w:hAnsi="Times New Roman"/>
          <w:sz w:val="18"/>
          <w:szCs w:val="18"/>
          <w:color w:val="auto"/>
        </w:rPr>
        <w:t>As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9" w:lineRule="exact"/>
        <w:rPr>
          <w:sz w:val="20"/>
          <w:szCs w:val="20"/>
          <w:color w:val="auto"/>
        </w:rPr>
      </w:pPr>
    </w:p>
    <w:p>
      <w:pPr>
        <w:jc w:val="both"/>
        <w:ind w:right="60" w:firstLine="576"/>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0"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3" w:lineRule="exact"/>
        <w:rPr>
          <w:sz w:val="20"/>
          <w:szCs w:val="20"/>
          <w:color w:val="auto"/>
        </w:rPr>
      </w:pPr>
    </w:p>
    <w:p>
      <w:pPr>
        <w:jc w:val="both"/>
        <w:ind w:right="100" w:firstLine="584"/>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political, trade, regulatory developments, and other circumstances beyond our control, could have a material adverse effect on our financial condition or results of operations.</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operate globally and, if approved, we may sell our products in countries throughout the world. Significant political, trade, or regulatory developments in the jurisdictions in which we conduct clinical trials, where we may seek to obtain approval of our products or where may sell our products (if approved by regulatory authorities for sale), such as those stemming from the change in U.S. federal administration, are difficult to predict and may have a material adverse effect on us and our operations. Similarly, changes in U.S. federal policy that affect the geopolitical landscape could give rise to circumstances outside our control that could have negative impacts on our business operations. For example, on February 1, 2025, the U.S. imposed a 25% tariff on imports from Canada and Mexico, which were subsequently suspended for a period of one month, and a 10% additional tariff on imports from China (we obtain certain drug product and API from vendors in China andour sole supplier of API is located in China). Historically, tariffs have led to increased trade and political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Anticipated Growth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experienced scientists and to attract, retain and motivate qualified personnel.</w:t>
      </w:r>
    </w:p>
    <w:p>
      <w:pPr>
        <w:spacing w:after="0" w:line="121"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18"/>
          <w:szCs w:val="18"/>
          <w:color w:val="auto"/>
        </w:rPr>
        <w:t>We are highly dependent on many of our key employees and members of our executive management team as well as the other principal members of our management, scientific and clinical team.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clinical trial and commercialization strategies. Our consultants and advisors may be employed by employers other than us and may have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3" w:name="page74"/>
    <w:bookmarkEnd w:id="73"/>
    <w:p>
      <w:pPr>
        <w:ind w:right="320"/>
        <w:spacing w:after="0" w:line="282" w:lineRule="auto"/>
        <w:rPr>
          <w:sz w:val="20"/>
          <w:szCs w:val="20"/>
          <w:color w:val="auto"/>
        </w:rPr>
      </w:pPr>
      <w:r>
        <w:rPr>
          <w:rFonts w:ascii="Times New Roman" w:cs="Times New Roman" w:eastAsia="Times New Roman" w:hAnsi="Times New Roman"/>
          <w:sz w:val="18"/>
          <w:szCs w:val="18"/>
          <w:color w:val="auto"/>
        </w:rPr>
        <w:t>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2"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clinical, medical, regulatory, manufacturing and sales and marketing personnel is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medical and clinical personnel from universities and research institutions. Failure to provide evidence of safety and efficacy of our product candidates in clinical trials and advance such candidates into registrational clinical trials, or delays experienced in such clinical trials, may make it more challenging to recruit and retain qualified scientific personnel.</w:t>
      </w:r>
    </w:p>
    <w:p>
      <w:pPr>
        <w:spacing w:after="0" w:line="194" w:lineRule="exact"/>
        <w:rPr>
          <w:sz w:val="20"/>
          <w:szCs w:val="20"/>
          <w:color w:val="auto"/>
        </w:rPr>
      </w:pPr>
    </w:p>
    <w:p>
      <w:pPr>
        <w:ind w:right="100" w:firstLine="576"/>
        <w:spacing w:after="0" w:line="258" w:lineRule="auto"/>
        <w:rPr>
          <w:sz w:val="20"/>
          <w:szCs w:val="20"/>
          <w:color w:val="auto"/>
        </w:rPr>
      </w:pPr>
      <w:r>
        <w:rPr>
          <w:rFonts w:ascii="Times New Roman" w:cs="Times New Roman" w:eastAsia="Times New Roman" w:hAnsi="Times New Roman"/>
          <w:sz w:val="18"/>
          <w:szCs w:val="18"/>
          <w:color w:val="auto"/>
        </w:rPr>
        <w:t>In particular, we have experienced a very competitive hiring environment in Boston and Cambridge, Massachusetts.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17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technology systems from cyberattacks, cyber intrusions or otherwise which could result in damage to our information technology system and unauthorized disclosure or use of confidential or proprietary information, including personal data.</w:t>
      </w:r>
    </w:p>
    <w:p>
      <w:pPr>
        <w:spacing w:after="0" w:line="159" w:lineRule="exact"/>
        <w:rPr>
          <w:sz w:val="20"/>
          <w:szCs w:val="20"/>
          <w:color w:val="auto"/>
        </w:rPr>
      </w:pPr>
    </w:p>
    <w:p>
      <w:pPr>
        <w:ind w:right="40" w:firstLine="576"/>
        <w:spacing w:after="0" w:line="261" w:lineRule="auto"/>
        <w:rPr>
          <w:sz w:val="20"/>
          <w:szCs w:val="20"/>
          <w:color w:val="auto"/>
        </w:rPr>
      </w:pPr>
      <w:r>
        <w:rPr>
          <w:rFonts w:ascii="Times New Roman" w:cs="Times New Roman" w:eastAsia="Times New Roman" w:hAnsi="Times New Roman"/>
          <w:sz w:val="18"/>
          <w:szCs w:val="18"/>
          <w:color w:val="auto"/>
        </w:rPr>
        <w:t>We rely on information technology systems that we or our third-party providers operate to process, transmit and store electronic health information in our day-to-day operations. In connection with our clinical trials, we (and our third party processors assisting with the clinical trials) may have access to or store clinical and health information of the patients participating in the trials and such information may be accessed as result of a cyberattack, cyber intrusion or otherwise.</w:t>
      </w:r>
    </w:p>
    <w:p>
      <w:pPr>
        <w:spacing w:after="0" w:line="180" w:lineRule="exact"/>
        <w:rPr>
          <w:sz w:val="20"/>
          <w:szCs w:val="20"/>
          <w:color w:val="auto"/>
        </w:rPr>
      </w:pPr>
    </w:p>
    <w:p>
      <w:pPr>
        <w:jc w:val="both"/>
        <w:ind w:right="400" w:firstLine="576"/>
        <w:spacing w:after="0" w:line="272" w:lineRule="auto"/>
        <w:rPr>
          <w:sz w:val="20"/>
          <w:szCs w:val="20"/>
          <w:color w:val="auto"/>
        </w:rPr>
      </w:pPr>
      <w:r>
        <w:rPr>
          <w:rFonts w:ascii="Times New Roman" w:cs="Times New Roman" w:eastAsia="Times New Roman" w:hAnsi="Times New Roman"/>
          <w:sz w:val="17"/>
          <w:szCs w:val="17"/>
          <w:color w:val="auto"/>
        </w:rPr>
        <w:t>A security breach, incident or compromise, whether through a successful cyberattack, cyber intrusion or otherwise,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w:t>
      </w:r>
    </w:p>
    <w:p>
      <w:pPr>
        <w:spacing w:after="0" w:line="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Cyberattacks could include wrongful conduct by hostile foreign governments, industrial espionage, wire fraud and other forms of cyber fraud, the deployment of harmful malware, computer viruses, denial-of-service, social engineering tactics or other means to threaten the security, confidentiality, integrity and availability of our information technology systems and data. A security breach, incident or compromise, whether through a successful cyberattack or otherwise, could cause serious negative consequences for us, including, without limitation, the disruption of operations, the misappropriation of confidential business information, including the compounds we are developing, our screening platform technology, financial information, trade secrets, financial loss and the disclosure of corporate strategic plans. Although we have implemented various measures designed to protect our information technology systems, there can be no assurance that our efforts will prevent security breaches, incidents or other compromises that would result in business, legal, financial or reputational harm to us, or would have a material adverse effect on our results of operations and financial condition. Any failure to prevent or mitigate security breaches, incidents or compromises could lead to improper access to, use of, or disclosure of our proprietary or confidential information (including clinical data or patients’ personal data) and could result in significant liability under various data protection laws, including state (e.g., state breach notification laws), federal (e.g., HIPAA, as amended by HITECH), and international laws (e.g., the GDPR) and may cause a material adverse impact to our reputation, affect our ability to continue existing clinical trials and conduct new clinical trials and potentially disrupt our business.</w:t>
      </w:r>
    </w:p>
    <w:p>
      <w:pPr>
        <w:spacing w:after="0" w:line="180" w:lineRule="exact"/>
        <w:rPr>
          <w:sz w:val="20"/>
          <w:szCs w:val="20"/>
          <w:color w:val="auto"/>
        </w:rPr>
      </w:pPr>
    </w:p>
    <w:p>
      <w:pPr>
        <w:ind w:right="160" w:firstLine="576"/>
        <w:spacing w:after="0" w:line="256" w:lineRule="auto"/>
        <w:rPr>
          <w:sz w:val="20"/>
          <w:szCs w:val="20"/>
          <w:color w:val="auto"/>
        </w:rPr>
      </w:pPr>
      <w:r>
        <w:rPr>
          <w:rFonts w:ascii="Times New Roman" w:cs="Times New Roman" w:eastAsia="Times New Roman" w:hAnsi="Times New Roman"/>
          <w:sz w:val="18"/>
          <w:szCs w:val="18"/>
          <w:color w:val="auto"/>
        </w:rPr>
        <w:t>We rely on our third-party providers to implement effective security measures and identify and correct for any such failures, deficiencies or breaches of our systems.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cyber-attacks and any such attacks could result in the losses described above as well as disputes with physicians, patients and our partners and collaborators, regulatory sanctions or penalties, increases in operating and other expenses or lost revenue or other adverse consequences, any of which could have a material adverse effect on our business, results of operations, financial</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4" w:name="page75"/>
    <w:bookmarkEnd w:id="74"/>
    <w:p>
      <w:pPr>
        <w:ind w:right="80"/>
        <w:spacing w:after="0" w:line="261" w:lineRule="auto"/>
        <w:rPr>
          <w:sz w:val="20"/>
          <w:szCs w:val="20"/>
          <w:color w:val="auto"/>
        </w:rPr>
      </w:pPr>
      <w:r>
        <w:rPr>
          <w:rFonts w:ascii="Times New Roman" w:cs="Times New Roman" w:eastAsia="Times New Roman" w:hAnsi="Times New Roman"/>
          <w:sz w:val="18"/>
          <w:szCs w:val="18"/>
          <w:color w:val="auto"/>
        </w:rPr>
        <w:t>condition, prospects and cash flows. Any failure by such third parties to prevent or mitigate security breaches, incidents or compromises, or any improper access to or disclosure of proprietary or confidential information, could have adverse consequences for our business and our reputation. If we are unable to prevent or mitigate the impact of such security breaches, incidents, or other compromises, we could be exposed to litigation and governmental investigations and related fines and penalties.</w:t>
      </w:r>
    </w:p>
    <w:p>
      <w:pPr>
        <w:spacing w:after="0" w:line="180" w:lineRule="exact"/>
        <w:rPr>
          <w:sz w:val="20"/>
          <w:szCs w:val="20"/>
          <w:color w:val="auto"/>
        </w:rPr>
      </w:pPr>
    </w:p>
    <w:p>
      <w:pPr>
        <w:ind w:right="60" w:firstLine="576"/>
        <w:spacing w:after="0" w:line="258" w:lineRule="auto"/>
        <w:rPr>
          <w:sz w:val="20"/>
          <w:szCs w:val="20"/>
          <w:color w:val="auto"/>
        </w:rPr>
      </w:pPr>
      <w:r>
        <w:rPr>
          <w:rFonts w:ascii="Times New Roman" w:cs="Times New Roman" w:eastAsia="Times New Roman" w:hAnsi="Times New Roman"/>
          <w:sz w:val="18"/>
          <w:szCs w:val="18"/>
          <w:color w:val="auto"/>
        </w:rPr>
        <w:t>Several U.S. states have enacted comprehensive privacy laws. In California, the California Consumer Privacy Act, or CCPA (and its amendments), requires covered businesses to comply with specific privacy and security obligations regarding their handling of personal information of California residents, such as providing the ability to opt-out of certain sales or transfers of their personal information to third parties. The CCPA provides for civil penalties for violations, as well as a private right of action for certain types of data breaches. Various other U.S. states have passed privacy laws that are similar to the CCPA, but contain several key differences in their scope, application and enforcement.</w:t>
      </w:r>
    </w:p>
    <w:p>
      <w:pPr>
        <w:spacing w:after="0" w:line="183" w:lineRule="exact"/>
        <w:rPr>
          <w:sz w:val="20"/>
          <w:szCs w:val="20"/>
          <w:color w:val="auto"/>
        </w:rPr>
      </w:pPr>
    </w:p>
    <w:p>
      <w:pPr>
        <w:jc w:val="both"/>
        <w:ind w:right="140" w:firstLine="576"/>
        <w:spacing w:after="0" w:line="266" w:lineRule="auto"/>
        <w:rPr>
          <w:sz w:val="20"/>
          <w:szCs w:val="20"/>
          <w:color w:val="auto"/>
        </w:rPr>
      </w:pPr>
      <w:r>
        <w:rPr>
          <w:rFonts w:ascii="Times New Roman" w:cs="Times New Roman" w:eastAsia="Times New Roman" w:hAnsi="Times New Roman"/>
          <w:sz w:val="18"/>
          <w:szCs w:val="18"/>
          <w:color w:val="auto"/>
        </w:rPr>
        <w:t>Such laws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our business practices and policies.</w:t>
      </w:r>
    </w:p>
    <w:p>
      <w:pPr>
        <w:spacing w:after="0" w:line="176" w:lineRule="exact"/>
        <w:rPr>
          <w:sz w:val="20"/>
          <w:szCs w:val="20"/>
          <w:color w:val="auto"/>
        </w:rPr>
      </w:pPr>
    </w:p>
    <w:p>
      <w:pPr>
        <w:ind w:right="120" w:firstLine="576"/>
        <w:spacing w:after="0" w:line="256" w:lineRule="auto"/>
        <w:rPr>
          <w:sz w:val="20"/>
          <w:szCs w:val="20"/>
          <w:color w:val="auto"/>
        </w:rPr>
      </w:pPr>
      <w:r>
        <w:rPr>
          <w:rFonts w:ascii="Times New Roman" w:cs="Times New Roman" w:eastAsia="Times New Roman" w:hAnsi="Times New Roman"/>
          <w:sz w:val="18"/>
          <w:szCs w:val="18"/>
          <w:color w:val="auto"/>
        </w:rPr>
        <w:t>There are also states that are specifically regulating health information. For example, in 2023, Washington State’s My Health My Data Act, which entered into force on March 31, 2024, expands the definition of consumer health data, affords consumers with privacy rights and creates a private right of action, which could increase the risk of litigation. These various privacy and security laws may impact our business activities, including our identification of patients who meet the inclusion criteria for our clinical trials, relationships with business partners and ultimately the marketing and distribution of our products (if approved by regulatory authorities). As we expand our operations, these and similar laws may increase our compliance costs and potential liability.</w:t>
      </w:r>
    </w:p>
    <w:p>
      <w:pPr>
        <w:spacing w:after="0" w:line="187" w:lineRule="exact"/>
        <w:rPr>
          <w:sz w:val="20"/>
          <w:szCs w:val="20"/>
          <w:color w:val="auto"/>
        </w:rPr>
      </w:pPr>
    </w:p>
    <w:p>
      <w:pPr>
        <w:ind w:right="140" w:firstLine="576"/>
        <w:spacing w:after="0" w:line="256" w:lineRule="auto"/>
        <w:rPr>
          <w:sz w:val="20"/>
          <w:szCs w:val="20"/>
          <w:color w:val="auto"/>
        </w:rPr>
      </w:pPr>
      <w:r>
        <w:rPr>
          <w:rFonts w:ascii="Times New Roman" w:cs="Times New Roman" w:eastAsia="Times New Roman" w:hAnsi="Times New Roman"/>
          <w:sz w:val="18"/>
          <w:szCs w:val="18"/>
          <w:color w:val="auto"/>
        </w:rPr>
        <w:t>If we, third-party CMOs, CROs or other contractors or consultants fail to comply with U.S. and international data protection laws and regulations, we could face government enforcement actions (which could include civil or criminal penalties) or private litigation, which would require additional investment of resources, limit our ability to use personal data, and result in adverse publicity which could negatively affect our operating results and business. Claims that we or our third-party service providers have violated individuals’ privacy rights, failed to comply with data protection laws, or breached our contractual obligations, even if we are not found liable, could result in adverse publicity that could harm our business, increase our costs and negatively affect our reputation.</w:t>
      </w:r>
    </w:p>
    <w:p>
      <w:pPr>
        <w:spacing w:after="0" w:line="187"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Additionally in the EU, the NIS 2 Directive, or NIS 2, is replacing the cybersecurity legal framework under the current NIS framework, aiming to ensure a high level of cybersecurity in the region. NIS 2 brings new medium and large organizations providing services in the EU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greater oversight. The majority of obligations will come into force when national legislation implementing NIS 2 becomes effective in the relevant EU Member State. EU Member States had until 17 October 2024 to transpose NIS 2 into national legislation, although many countries have still not completed the transposition. As such, the cybersecurity regulatory landscape in the EU is currently fragmented and uncertain. To the extent we are subject to NIS 2, we will require additional investment of our resources in compliance programs and will potentially come under greater regulatory scrutiny. Under NIS 2 companies may be subject to administrative fines of up to the higher amount of €10 million or 2% of worldwide turnover.</w:t>
      </w:r>
    </w:p>
    <w:p>
      <w:pPr>
        <w:spacing w:after="0" w:line="19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59"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auto"/>
        </w:rPr>
        <w:t>Issues in the development and use of artificial intelligence, or AI, combined with an uncertain regulatory environment, may result in reputational harm, liability or other adverse consequences to our business operations. As with many technological innovations, artificial intelligence presents risks and challenges that could impact our business. We utilize third parties in connection with machine learning initiatives and may integrate generative artificial intelligence tools into our systems for specific use cases. In addition, our vendors may incorporate generative artificial intelligence tools into their offerings without disclosing this use to us, and the providers of these generative artificial intelligence tools, and vendors used by us in connection with machine learning initiatives,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5" w:name="page76"/>
    <w:bookmarkEnd w:id="75"/>
    <w:p>
      <w:pPr>
        <w:spacing w:after="0" w:line="253" w:lineRule="auto"/>
        <w:rPr>
          <w:sz w:val="20"/>
          <w:szCs w:val="20"/>
          <w:color w:val="auto"/>
        </w:rPr>
      </w:pPr>
      <w:r>
        <w:rPr>
          <w:rFonts w:ascii="Times New Roman" w:cs="Times New Roman" w:eastAsia="Times New Roman" w:hAnsi="Times New Roman"/>
          <w:sz w:val="18"/>
          <w:szCs w:val="18"/>
          <w:color w:val="auto"/>
        </w:rPr>
        <w:t>or security incident because of the use of generative artificial intelligence, we may lose valuable intellectual property and confidential information and our reputation and the public perception of the effectiveness of our security measures could be harmed. We also expect to see increasing government and supranational regulation related to artificial intelligence use and ethics, which may also significantly increase the burden and cost of research, development and compliance in this area. For example, the EU’s Artificial Intelligence Act (AI Act) — the world’s first comprehensive AI law — entered into force in August 2024 and, with some exceptions, become effective 24 months thereafter. This legislation imposes significant obligations on providers and deployers of high risk artificial intelligence systems, and encourages providers and deployers of artificial intelligence systems to account for EU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Furthermore, in the U.S., a number of states have proposed and passed laws regulating various uses of AI, and federal regulators have issued guidance affecting the use of AI in regulated sectors.</w:t>
      </w:r>
    </w:p>
    <w:p>
      <w:pPr>
        <w:spacing w:after="0" w:line="194" w:lineRule="exact"/>
        <w:rPr>
          <w:sz w:val="20"/>
          <w:szCs w:val="20"/>
          <w:color w:val="auto"/>
        </w:rPr>
      </w:pPr>
    </w:p>
    <w:p>
      <w:pPr>
        <w:ind w:right="80" w:firstLine="576"/>
        <w:spacing w:after="0" w:line="261" w:lineRule="auto"/>
        <w:rPr>
          <w:sz w:val="20"/>
          <w:szCs w:val="20"/>
          <w:color w:val="auto"/>
        </w:rPr>
      </w:pPr>
      <w:r>
        <w:rPr>
          <w:rFonts w:ascii="Times New Roman" w:cs="Times New Roman" w:eastAsia="Times New Roman" w:hAnsi="Times New Roman"/>
          <w:sz w:val="18"/>
          <w:szCs w:val="18"/>
          <w:color w:val="auto"/>
        </w:rPr>
        <w:t>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Our vendors may in turn incorporate AI tools into their offerings, and the providers of these AI tools may not meet existing or rapidly evolving regulatory or industry standards, including with respect to privacy and data security.</w:t>
      </w:r>
    </w:p>
    <w:p>
      <w:pPr>
        <w:spacing w:after="0" w:line="180" w:lineRule="exact"/>
        <w:rPr>
          <w:sz w:val="20"/>
          <w:szCs w:val="20"/>
          <w:color w:val="auto"/>
        </w:rPr>
      </w:pPr>
    </w:p>
    <w:p>
      <w:pPr>
        <w:ind w:right="80" w:firstLine="576"/>
        <w:spacing w:after="0" w:line="266" w:lineRule="auto"/>
        <w:rPr>
          <w:sz w:val="20"/>
          <w:szCs w:val="20"/>
          <w:color w:val="auto"/>
        </w:rPr>
      </w:pPr>
      <w:r>
        <w:rPr>
          <w:rFonts w:ascii="Times New Roman" w:cs="Times New Roman" w:eastAsia="Times New Roman" w:hAnsi="Times New Roman"/>
          <w:sz w:val="18"/>
          <w:szCs w:val="18"/>
          <w:color w:val="auto"/>
        </w:rPr>
        <w:t>Further, bad actors around the world use increasingly sophisticated methods, including the use of AI,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7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ind w:right="120" w:firstLine="576"/>
        <w:spacing w:after="0" w:line="255" w:lineRule="auto"/>
        <w:rPr>
          <w:sz w:val="20"/>
          <w:szCs w:val="20"/>
          <w:color w:val="auto"/>
        </w:rPr>
      </w:pPr>
      <w:r>
        <w:rPr>
          <w:rFonts w:ascii="Times New Roman" w:cs="Times New Roman" w:eastAsia="Times New Roman" w:hAnsi="Times New Roman"/>
          <w:sz w:val="18"/>
          <w:szCs w:val="18"/>
          <w:color w:val="auto"/>
        </w:rPr>
        <w:t>As of December 31, 2024, we had 155 full-time employees. We expect to experience significant growth in the number of our employees and the scope of our operations, particularly in the areas of product development and strategy, clinical trial operations, regulatory affairs and, if any of our product candidates receives regulatory approval, sales, medical affairs,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planned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35" w:lineRule="exact"/>
        <w:rPr>
          <w:sz w:val="20"/>
          <w:szCs w:val="20"/>
          <w:color w:val="auto"/>
        </w:rPr>
      </w:pPr>
    </w:p>
    <w:p>
      <w:pPr>
        <w:ind w:right="120" w:firstLine="576"/>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own a significant percentage of our stock and will be able to exert significant control over matters subject to stockholder approval.</w:t>
      </w:r>
    </w:p>
    <w:p>
      <w:pPr>
        <w:spacing w:after="0" w:line="51" w:lineRule="exact"/>
        <w:rPr>
          <w:sz w:val="20"/>
          <w:szCs w:val="20"/>
          <w:color w:val="auto"/>
        </w:rPr>
      </w:pPr>
    </w:p>
    <w:p>
      <w:pPr>
        <w:ind w:right="260" w:firstLine="576"/>
        <w:spacing w:after="0" w:line="255" w:lineRule="auto"/>
        <w:rPr>
          <w:sz w:val="20"/>
          <w:szCs w:val="20"/>
          <w:color w:val="auto"/>
        </w:rPr>
      </w:pPr>
      <w:r>
        <w:rPr>
          <w:rFonts w:ascii="Times New Roman" w:cs="Times New Roman" w:eastAsia="Times New Roman" w:hAnsi="Times New Roman"/>
          <w:sz w:val="18"/>
          <w:szCs w:val="18"/>
          <w:color w:val="auto"/>
        </w:rPr>
        <w:t>Based on our common stock outstanding as of December 31, 2024, a limited number of shareholders hold greater than a majority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 merger, sale of assets, or other major corporate transaction. These stockholders may have interests, with respect to their common stock, that are different from those of other investors and the concentration of voting power among these stockholders may have an adverse effect on the price of our common stock. In addition, this concentration of ownership might adversely affect the market price of our common stock by delaying, deferring or preventing a change of control of us, impeding a merger, consolidation, takeover or other business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combination involving us or discouraging a potential acquirer from making a tender offer or otherwise attempting to obtain control of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21" w:lineRule="exact"/>
        <w:rPr>
          <w:sz w:val="20"/>
          <w:szCs w:val="20"/>
          <w:color w:val="auto"/>
        </w:rPr>
      </w:pPr>
    </w:p>
    <w:p>
      <w:pPr>
        <w:ind w:right="100" w:firstLine="576"/>
        <w:spacing w:after="0" w:line="253" w:lineRule="auto"/>
        <w:rPr>
          <w:sz w:val="20"/>
          <w:szCs w:val="20"/>
          <w:color w:val="auto"/>
        </w:rPr>
      </w:pPr>
      <w:r>
        <w:rPr>
          <w:rFonts w:ascii="Times New Roman" w:cs="Times New Roman" w:eastAsia="Times New Roman" w:hAnsi="Times New Roman"/>
          <w:sz w:val="18"/>
          <w:szCs w:val="18"/>
          <w:color w:val="auto"/>
        </w:rPr>
        <w:t>Under Sections 382 and 383 of the Internal Revenue Code, as amended, or the Code, if a corporation undergoes an “ownership change” (generally defined as a greater than 50 percentage point change (by value) in the ownership of its equity over a three-year period), the corporation’s ability to use its pre-change net operating loss carryforwards and certain other pre-change tax attributes to offset its post-change income may be limited. We have experienced such ownership changes in the past, and we may experience ownership changes in the future as a result of shifts in our stock ownership, some of which are outside our control. The Company has performed an analysis of ownership changes through December 31, 2021, and determined that on February 6, 2017 and August 17, 2020, ownership changes had occurred. Based on this analysis, the Company’s ability to use its pre-change tax attributes to offset federal and state taxable income are subject to annual limitations and a portion of the attributes generated prior to February 6, 2017, will expire unutilized, which could potentially result in an increased future tax liability. The Company previously adjusted its deferred tax assets and valuation allowance balance for the affected tax attribute carryforwards to reflect the expiration of the attributes. There have been no changes to the limitations as of December 31, 2024.</w:t>
      </w:r>
    </w:p>
    <w:p>
      <w:pPr>
        <w:spacing w:after="0" w:line="194"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Federal net operating loss carryforwards generated in taxable years beginning after December 31, 2017 will not be subject to expiration. However, any such net operating loss carryforwards may only offset 80% of our annual taxable income in taxable years beginning after December 31, 2020. There is also a risk that due to regulatory changes, such as suspensions on the use of net operating loss carryforwards or other unforeseen reasons, our existing net operating loss carryforwards could expire or otherwise be unavailable to offset future income tax liabilities, including for state tax purposes. In future years, if and when a net deferred tax asset is recognized related to our net operating loss carryforwards, the changes in the carryforward/carryback periods as well as the new limitation on use of net operating loss carryforwards may significantly impact our valuation allowance assessments for net operating loss carryforwards. For these reasons, we may not be able to utilize some portion of our net operating loss carryforwards, none of which are currently reflected on our balance sheet, even if we attain profitability.</w:t>
      </w:r>
    </w:p>
    <w:p>
      <w:pPr>
        <w:spacing w:after="0" w:line="188"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300" w:firstLine="584"/>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delay or prevent a change of control of our company or changes in our board of directors that our stockholders might consider favorable. Some of these provisions include:</w:t>
      </w:r>
    </w:p>
    <w:p>
      <w:pPr>
        <w:spacing w:after="0" w:line="54" w:lineRule="exact"/>
        <w:rPr>
          <w:sz w:val="20"/>
          <w:szCs w:val="20"/>
          <w:color w:val="auto"/>
        </w:rPr>
      </w:pPr>
    </w:p>
    <w:p>
      <w:pPr>
        <w:ind w:right="380" w:firstLine="230"/>
        <w:spacing w:after="0" w:line="254" w:lineRule="auto"/>
        <w:rPr>
          <w:sz w:val="20"/>
          <w:szCs w:val="20"/>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 a prohibition on stockholder action through written consent, which requires that all stockholder actions be taken at a meeting of our stockholders; a requirement that special meetings of the stockholders may be called only by the board of directors acting pursuant to a resolution approved by the affirmative vote of a majority of the directors then in office, and special meetings of stockholders may not be called by any other person or persons; advance notice requirements for stockholder proposals and nominations for election to our board of directors;</w:t>
      </w:r>
    </w:p>
    <w:p>
      <w:pPr>
        <w:spacing w:after="0" w:line="3" w:lineRule="exact"/>
        <w:rPr>
          <w:sz w:val="20"/>
          <w:szCs w:val="20"/>
          <w:color w:val="auto"/>
        </w:rPr>
      </w:pPr>
    </w:p>
    <w:p>
      <w:pPr>
        <w:ind w:right="20" w:firstLine="230"/>
        <w:spacing w:after="0" w:line="250" w:lineRule="auto"/>
        <w:rPr>
          <w:sz w:val="20"/>
          <w:szCs w:val="20"/>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then, in addition to any other vote required by law, only upon the approval of not less than 66 2/3% of all outstanding shares of our capital stock then entitled to vote in the election of directors;</w:t>
      </w:r>
    </w:p>
    <w:p>
      <w:pPr>
        <w:spacing w:after="0" w:line="1" w:lineRule="exact"/>
        <w:rPr>
          <w:sz w:val="20"/>
          <w:szCs w:val="20"/>
          <w:color w:val="auto"/>
        </w:rPr>
      </w:pPr>
    </w:p>
    <w:p>
      <w:pPr>
        <w:ind w:right="560" w:firstLine="230"/>
        <w:spacing w:after="0" w:line="250" w:lineRule="auto"/>
        <w:rPr>
          <w:sz w:val="20"/>
          <w:szCs w:val="20"/>
          <w:color w:val="auto"/>
        </w:rPr>
      </w:pPr>
      <w:r>
        <w:rPr>
          <w:rFonts w:ascii="Times New Roman" w:cs="Times New Roman" w:eastAsia="Times New Roman" w:hAnsi="Times New Roman"/>
          <w:sz w:val="18"/>
          <w:szCs w:val="18"/>
          <w:color w:val="auto"/>
        </w:rPr>
        <w:t>supermajority voting requirements to amend our bylaws by stockholder action (unless our board recommends that our stockholders approve such amendment(s)) and to amend specific provisions of our certificate of incorporation; and</w:t>
      </w:r>
    </w:p>
    <w:p>
      <w:pPr>
        <w:ind w:right="560" w:firstLine="230"/>
        <w:spacing w:after="0" w:line="260" w:lineRule="auto"/>
        <w:rPr>
          <w:sz w:val="20"/>
          <w:szCs w:val="20"/>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which preferred stock may include rights superior to the rights of the holders of common stock.</w:t>
      </w:r>
    </w:p>
    <w:p>
      <w:pPr>
        <w:spacing w:after="0" w:line="181" w:lineRule="exact"/>
        <w:rPr>
          <w:sz w:val="20"/>
          <w:szCs w:val="20"/>
          <w:color w:val="auto"/>
        </w:rPr>
      </w:pPr>
    </w:p>
    <w:p>
      <w:pPr>
        <w:ind w:right="20" w:firstLine="576"/>
        <w:spacing w:after="0" w:line="258" w:lineRule="auto"/>
        <w:rPr>
          <w:sz w:val="20"/>
          <w:szCs w:val="20"/>
          <w:color w:val="auto"/>
        </w:rPr>
      </w:pPr>
      <w:r>
        <w:rPr>
          <w:rFonts w:ascii="Times New Roman" w:cs="Times New Roman" w:eastAsia="Times New Roman" w:hAnsi="Times New Roman"/>
          <w:sz w:val="18"/>
          <w:szCs w:val="18"/>
          <w:color w:val="auto"/>
        </w:rPr>
        <w:t>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specific courts as the exclusive forum for certain litigation that may be initiated by our stockholders, which could limit our stockholders’ ability to obtain a favorable judicial forum for disputes with us.</w:t>
      </w:r>
    </w:p>
    <w:p>
      <w:pPr>
        <w:spacing w:after="0" w:line="51"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Pursuant to our bylaws, unless we consent in writing to the selection of an alternative forum, the Court of Chancery of the State of Delaware shall be the sole and exclusive forum for any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General Corporation Law of the State of Delaware, or the DGCL, or our certificate of incorporation or bylaws (including the interpretation, validity or enforceability thereof), or (iv) any action asserting a claim governed by the internal affairs doctrine. We refer to the foregoing provision as the Delaware Forum Provision. The Delaware Forum Provision will not apply to any causes of action arising under the Securities Act or the Exchange Act.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92" w:lineRule="exact"/>
        <w:rPr>
          <w:sz w:val="20"/>
          <w:szCs w:val="20"/>
          <w:color w:val="auto"/>
        </w:rPr>
      </w:pPr>
    </w:p>
    <w:p>
      <w:pPr>
        <w:ind w:right="60" w:firstLine="576"/>
        <w:spacing w:after="0" w:line="253"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in our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While the Delaware Supreme Court and courts in other states have upheld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us and/or our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9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51" w:lineRule="exact"/>
        <w:rPr>
          <w:sz w:val="20"/>
          <w:szCs w:val="20"/>
          <w:color w:val="auto"/>
        </w:rPr>
      </w:pPr>
    </w:p>
    <w:p>
      <w:pPr>
        <w:ind w:right="60" w:firstLine="576"/>
        <w:spacing w:after="0" w:line="253"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and representatives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further increase in time. We have, and we expect we will continue to, engage third parties for clinical trials and/or to obtain necessary permits, licenses, patent registrations, and other regulatory approvals and we can be held liable for the corrupt or other illegal activities of our personnel, agents, representatives or partners, even if we do not explicitly authorize or have prior knowledge of such activities.</w:t>
      </w:r>
    </w:p>
    <w:p>
      <w:pPr>
        <w:spacing w:after="0" w:line="19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51"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8" w:name="page79"/>
    <w:bookmarkEnd w:id="78"/>
    <w:p>
      <w:pPr>
        <w:ind w:right="40"/>
        <w:spacing w:after="0" w:line="254" w:lineRule="auto"/>
        <w:rPr>
          <w:sz w:val="20"/>
          <w:szCs w:val="20"/>
          <w:color w:val="auto"/>
        </w:rPr>
      </w:pPr>
      <w:r>
        <w:rPr>
          <w:rFonts w:ascii="Times New Roman" w:cs="Times New Roman" w:eastAsia="Times New Roman" w:hAnsi="Times New Roman"/>
          <w:sz w:val="18"/>
          <w:szCs w:val="18"/>
          <w:color w:val="auto"/>
        </w:rPr>
        <w:t>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imposition of a monitor, possible exclusion from participation in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1" w:lineRule="exact"/>
        <w:rPr>
          <w:sz w:val="20"/>
          <w:szCs w:val="20"/>
          <w:color w:val="auto"/>
        </w:rPr>
      </w:pPr>
    </w:p>
    <w:p>
      <w:pPr>
        <w:jc w:val="both"/>
        <w:ind w:right="140" w:firstLine="576"/>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7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purchasers of our common stock.</w:t>
      </w:r>
    </w:p>
    <w:p>
      <w:pPr>
        <w:spacing w:after="0" w:line="51" w:lineRule="exact"/>
        <w:rPr>
          <w:sz w:val="20"/>
          <w:szCs w:val="20"/>
          <w:color w:val="auto"/>
        </w:rPr>
      </w:pPr>
    </w:p>
    <w:p>
      <w:pPr>
        <w:ind w:right="200" w:firstLine="584"/>
        <w:spacing w:after="0" w:line="266" w:lineRule="auto"/>
        <w:rPr>
          <w:sz w:val="20"/>
          <w:szCs w:val="20"/>
          <w:color w:val="auto"/>
        </w:rPr>
      </w:pPr>
      <w:r>
        <w:rPr>
          <w:rFonts w:ascii="Times New Roman" w:cs="Times New Roman" w:eastAsia="Times New Roman" w:hAnsi="Times New Roman"/>
          <w:sz w:val="18"/>
          <w:szCs w:val="18"/>
          <w:color w:val="auto"/>
        </w:rPr>
        <w:t>Our stock price has been and is likely to continue to be volatile.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The market price for our common stock may be influenced by many factors, including:</w:t>
      </w:r>
    </w:p>
    <w:p>
      <w:pPr>
        <w:spacing w:after="0" w:line="68" w:lineRule="exact"/>
        <w:rPr>
          <w:sz w:val="20"/>
          <w:szCs w:val="20"/>
          <w:color w:val="auto"/>
        </w:rPr>
      </w:pPr>
    </w:p>
    <w:p>
      <w:pPr>
        <w:jc w:val="both"/>
        <w:ind w:left="240" w:right="6520"/>
        <w:spacing w:after="0" w:line="276" w:lineRule="auto"/>
        <w:rPr>
          <w:sz w:val="20"/>
          <w:szCs w:val="20"/>
          <w:color w:val="auto"/>
        </w:rPr>
      </w:pPr>
      <w:r>
        <w:rPr>
          <w:rFonts w:ascii="Times New Roman" w:cs="Times New Roman" w:eastAsia="Times New Roman" w:hAnsi="Times New Roman"/>
          <w:sz w:val="17"/>
          <w:szCs w:val="17"/>
          <w:color w:val="auto"/>
        </w:rPr>
        <w:t>the success or failure of competitive products or technologies; advancement of our preclinical programs into clinical testing;</w:t>
      </w:r>
    </w:p>
    <w:p>
      <w:pPr>
        <w:ind w:left="240" w:right="2700"/>
        <w:spacing w:after="0" w:line="250" w:lineRule="auto"/>
        <w:rPr>
          <w:sz w:val="20"/>
          <w:szCs w:val="20"/>
          <w:color w:val="auto"/>
        </w:rPr>
      </w:pPr>
      <w:r>
        <w:rPr>
          <w:rFonts w:ascii="Times New Roman" w:cs="Times New Roman" w:eastAsia="Times New Roman" w:hAnsi="Times New Roman"/>
          <w:sz w:val="18"/>
          <w:szCs w:val="18"/>
          <w:color w:val="auto"/>
        </w:rPr>
        <w:t>release of our initial, interim, or final results of clinical trials of our product candidates or those of our competitors; regulatory or legal developments in the United States and other countries;</w:t>
      </w:r>
    </w:p>
    <w:p>
      <w:pPr>
        <w:ind w:left="240" w:right="3860"/>
        <w:spacing w:after="0" w:line="250" w:lineRule="auto"/>
        <w:rPr>
          <w:sz w:val="20"/>
          <w:szCs w:val="20"/>
          <w:color w:val="auto"/>
        </w:rPr>
      </w:pPr>
      <w:r>
        <w:rPr>
          <w:rFonts w:ascii="Times New Roman" w:cs="Times New Roman" w:eastAsia="Times New Roman" w:hAnsi="Times New Roman"/>
          <w:sz w:val="18"/>
          <w:szCs w:val="18"/>
          <w:color w:val="auto"/>
        </w:rPr>
        <w:t>developments or disputes concerning patent applications, issued patents or other proprietary rights; the recruitment or departure of key personnel;</w:t>
      </w:r>
    </w:p>
    <w:p>
      <w:pPr>
        <w:ind w:left="240" w:right="1920"/>
        <w:spacing w:after="0" w:line="250" w:lineRule="auto"/>
        <w:rPr>
          <w:sz w:val="20"/>
          <w:szCs w:val="20"/>
          <w:color w:val="auto"/>
        </w:rPr>
      </w:pPr>
      <w:r>
        <w:rPr>
          <w:rFonts w:ascii="Times New Roman" w:cs="Times New Roman" w:eastAsia="Times New Roman" w:hAnsi="Times New Roman"/>
          <w:sz w:val="18"/>
          <w:szCs w:val="18"/>
          <w:color w:val="auto"/>
        </w:rPr>
        <w:t>the level of expenses related to any of our programs and product candidates or preclinical and clinical development programs; the results of our efforts to discover, develop, acquire or in-license additional product candidates or products;</w:t>
      </w:r>
    </w:p>
    <w:p>
      <w:pPr>
        <w:ind w:left="240" w:right="560"/>
        <w:spacing w:after="0" w:line="250" w:lineRule="auto"/>
        <w:rPr>
          <w:sz w:val="20"/>
          <w:szCs w:val="20"/>
          <w:color w:val="auto"/>
        </w:rPr>
      </w:pPr>
      <w:r>
        <w:rPr>
          <w:rFonts w:ascii="Times New Roman" w:cs="Times New Roman" w:eastAsia="Times New Roman" w:hAnsi="Times New Roman"/>
          <w:sz w:val="18"/>
          <w:szCs w:val="18"/>
          <w:color w:val="auto"/>
        </w:rPr>
        <w:t>actual or anticipated changes in estimates as to financial results, development timelines, data releases or recommendations by securities analysts; variations in our financial results or those of companies that are perceived to be similar to us;</w:t>
      </w:r>
    </w:p>
    <w:p>
      <w:pPr>
        <w:ind w:left="240" w:right="4020"/>
        <w:spacing w:after="0" w:line="250" w:lineRule="auto"/>
        <w:rPr>
          <w:sz w:val="20"/>
          <w:szCs w:val="20"/>
          <w:color w:val="auto"/>
        </w:rPr>
      </w:pPr>
      <w:r>
        <w:rPr>
          <w:rFonts w:ascii="Times New Roman" w:cs="Times New Roman" w:eastAsia="Times New Roman" w:hAnsi="Times New Roman"/>
          <w:sz w:val="18"/>
          <w:szCs w:val="18"/>
          <w:color w:val="auto"/>
        </w:rPr>
        <w:t>changes in the structure of healthcare payment systems and third-party reimbursement decisions; market conditions in the pharmaceutical and biotechnology sectors;</w:t>
      </w:r>
    </w:p>
    <w:p>
      <w:pPr>
        <w:ind w:left="240" w:right="4660"/>
        <w:spacing w:after="0" w:line="250" w:lineRule="auto"/>
        <w:rPr>
          <w:sz w:val="20"/>
          <w:szCs w:val="20"/>
          <w:color w:val="auto"/>
        </w:rPr>
      </w:pPr>
      <w:r>
        <w:rPr>
          <w:rFonts w:ascii="Times New Roman" w:cs="Times New Roman" w:eastAsia="Times New Roman" w:hAnsi="Times New Roman"/>
          <w:sz w:val="18"/>
          <w:szCs w:val="18"/>
          <w:color w:val="auto"/>
        </w:rPr>
        <w:t>purchases or sales of our securities by our officers, directors or significant shareholders; limited trading volume;</w:t>
      </w:r>
    </w:p>
    <w:p>
      <w:pPr>
        <w:ind w:left="240" w:right="6880"/>
        <w:spacing w:after="0" w:line="290" w:lineRule="auto"/>
        <w:rPr>
          <w:sz w:val="20"/>
          <w:szCs w:val="20"/>
          <w:color w:val="auto"/>
        </w:rPr>
      </w:pPr>
      <w:r>
        <w:rPr>
          <w:rFonts w:ascii="Times New Roman" w:cs="Times New Roman" w:eastAsia="Times New Roman" w:hAnsi="Times New Roman"/>
          <w:sz w:val="17"/>
          <w:szCs w:val="17"/>
          <w:color w:val="auto"/>
        </w:rPr>
        <w:t>general economic, industry and market conditions; and the other factors described in this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section.</w:t>
      </w:r>
    </w:p>
    <w:p>
      <w:pPr>
        <w:spacing w:after="0" w:line="153"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compliance initiatives.</w:t>
      </w:r>
    </w:p>
    <w:p>
      <w:pPr>
        <w:spacing w:after="0" w:line="51"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As a public company, and particularly now that we are no longer an “emerging growth company,” we will incur significant legal, accounting and other expenses that we did not incur as a private company. In addition, the Sarbanes-Oxley Act and rules subsequently implemented by the SEC and The Nasdaq Global Market, or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these rules and regulations have made it more expensive for us to obtain director and officer liability insurance.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9" w:name="page80"/>
    <w:bookmarkEnd w:id="79"/>
    <w:p>
      <w:pPr>
        <w:ind w:firstLine="576"/>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we are required to furnish a report by our management on our internal control over financial reporting. Further, as we are no longer an emerging growth company, we are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if we are not able to continue to meet these requirements, we may not be able to remain listed on Nasdaq.</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15" w:lineRule="exact"/>
        <w:rPr>
          <w:sz w:val="20"/>
          <w:szCs w:val="20"/>
          <w:color w:val="auto"/>
        </w:rPr>
      </w:pPr>
    </w:p>
    <w:p>
      <w:pPr>
        <w:ind w:right="200" w:firstLine="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51" w:lineRule="exact"/>
        <w:rPr>
          <w:sz w:val="20"/>
          <w:szCs w:val="20"/>
          <w:color w:val="auto"/>
        </w:rPr>
      </w:pPr>
    </w:p>
    <w:p>
      <w:pPr>
        <w:ind w:right="20" w:firstLine="576"/>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control these analysts. If one or more of the analysts covering our business downgrade their evaluations of our stock, the price target for our stock or publish inaccurate or unfavorable evaluations of our company or our stock, the price of our stock could decline. If one or more of these analysts cease to cover our stock or fail to publish reports covering our company regularly, we could lose visibility in the market for our stock, which in turn could cause our stock price to decline. In addition, if we are the subject of negative publicity, whether from an analyst, academic, industry group or the general or financial press, our stock price may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right="60" w:firstLine="576"/>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has been and may continue to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could adversely affect our business operations, financial condition and results of operations.</w:t>
      </w:r>
    </w:p>
    <w:p>
      <w:pPr>
        <w:spacing w:after="0" w:line="51" w:lineRule="exact"/>
        <w:rPr>
          <w:sz w:val="20"/>
          <w:szCs w:val="20"/>
          <w:color w:val="auto"/>
        </w:rPr>
      </w:pPr>
    </w:p>
    <w:p>
      <w:pPr>
        <w:ind w:right="180" w:firstLine="576"/>
        <w:spacing w:after="0" w:line="256"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Silicon Valley Bank, or SVB, was closed by the California Department of Financial Protection and Innovation, and Signature Bank and Silvergate Capital Corp. were each swept into receivership. We held certain funds in a deposit account with SVB, and while we were ultimately able to access those funds, we did not have access for a short time leading up to the events in March 2023.</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80" w:name="page81"/>
    <w:bookmarkEnd w:id="80"/>
    <w:p>
      <w:pPr>
        <w:ind w:right="20" w:firstLine="495"/>
        <w:spacing w:after="0" w:line="258"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in amounts adequate to finance or capitalize our current and projected future business operations could be significantly impaired by factors caused by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spacing w:after="0" w:line="183" w:lineRule="exact"/>
        <w:rPr>
          <w:sz w:val="20"/>
          <w:szCs w:val="20"/>
          <w:color w:val="auto"/>
        </w:rPr>
      </w:pPr>
    </w:p>
    <w:p>
      <w:pPr>
        <w:ind w:right="180" w:firstLine="576"/>
        <w:spacing w:after="0" w:line="266" w:lineRule="auto"/>
        <w:rPr>
          <w:sz w:val="20"/>
          <w:szCs w:val="20"/>
          <w:color w:val="auto"/>
        </w:rPr>
      </w:pPr>
      <w:r>
        <w:rPr>
          <w:rFonts w:ascii="Times New Roman" w:cs="Times New Roman" w:eastAsia="Times New Roman" w:hAnsi="Times New Roman"/>
          <w:sz w:val="18"/>
          <w:szCs w:val="18"/>
          <w:color w:val="auto"/>
        </w:rPr>
        <w:t>In addition, any further deterioration in the macroeconomic economy or financial services industry could lead to losses or defaults by parties with whom we conduct business, which in turn, could have a material adverse effect on our current and/or projected business operations and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legislation could adversely affect our business and financial condition.</w:t>
      </w:r>
    </w:p>
    <w:p>
      <w:pPr>
        <w:spacing w:after="0" w:line="121"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The tax regimes we are subject to or operate under are unsettled and may be subject to significant change. Changes in tax laws or tax rulings, or changes in interpretations of existing laws, could cause us to be subject to additional income-based taxes and non- income taxes (such as payroll, sales, use, value-added, digital tax, net worth, property, and goods and services taxes), which in turn could materially affect our cash and financial position and results of operations. Additionally, new, changed, modified, or newly interpreted or applied tax laws could increase our potential future customers’ and our compliance, operating and other costs, as well as the costs of our products, if approved. As we expand the scale of our business activities, any changes in the U.S. taxation of such activities may increase our effective tax rate and harm our business, financial condition, and results of operations. Complying with these tax laws is complex and the statutes and regulations can be subject to varying interpretation which can make compliance challenging.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21" w:lineRule="exact"/>
        <w:rPr>
          <w:sz w:val="20"/>
          <w:szCs w:val="20"/>
          <w:color w:val="auto"/>
        </w:rPr>
      </w:pPr>
    </w:p>
    <w:p>
      <w:pPr>
        <w:ind w:right="40" w:firstLine="576"/>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United States and other countries recently experienced increased inflation and interest rates increased in response to this inflation. These conditions in the U.S. and global economy have caused significant volatility and uncertainty in U.S. and international markets. A severe or prolonged economic downturn, a marked increase in interest rates and inflation could result in a variety of risks to our business, including, weakened demand for our product candidates (if and when approved by regulatory authorities) and our inability to raise additional capital when needed on acceptable terms, if at all. Changes in U.S. government and other nations’ administrations and their associated shifts in policy and priorities could also impact our operations and market conditions. Our business is sensitive to geopolitical issues, including foreign policy actions taken by governments such as tariffs, sanctions, embargoes, export and import controls, and other trade restrictions, which can affect our operations, cause disruptions to our supply chain, and, ultimately, could adversely affect our business. In addition, our business may be generally exposed to the impact of political or civil unrest or military action, including the current conflict between Russia and Ukraine (where a vendor that performs chemistry related work on our pre-clinical product candidates is located). Other global conflicts, including conflicts in the Middle East, and heightened tensions in the Pacific region, have significantly elevated global geopolitical tensions and security concerns. While we do not otherwise have direct exposure to Ukraine, our business and results of operations may be impacted based upon the events taking place there and economic sanctions, export controls, and other trade restrictions, for instance those that the U.S. Government and other nations implemented against Russia in light of its invasion of Ukraine or those relating to the conflict in the Middle East, could directly and indirectly result in the disruption of our business and supply chain. A weak or declining economy could also strain our suppliers and the global supply chain, possibly resulting in supply disruption. Any of the foregoing could harm our business and we cannot anticipate all of the ways in which the current economic climate and financial market conditions could adversely impact our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and you may not be able to resell your shares at the price you paid.</w:t>
      </w:r>
    </w:p>
    <w:p>
      <w:pPr>
        <w:spacing w:after="0" w:line="121" w:lineRule="exact"/>
        <w:rPr>
          <w:sz w:val="20"/>
          <w:szCs w:val="20"/>
          <w:color w:val="auto"/>
        </w:rPr>
      </w:pPr>
    </w:p>
    <w:p>
      <w:pPr>
        <w:ind w:right="20" w:firstLine="576"/>
        <w:spacing w:after="0" w:line="282" w:lineRule="auto"/>
        <w:rPr>
          <w:sz w:val="20"/>
          <w:szCs w:val="20"/>
          <w:color w:val="auto"/>
        </w:rPr>
      </w:pPr>
      <w:r>
        <w:rPr>
          <w:rFonts w:ascii="Times New Roman" w:cs="Times New Roman" w:eastAsia="Times New Roman" w:hAnsi="Times New Roman"/>
          <w:sz w:val="18"/>
          <w:szCs w:val="18"/>
          <w:color w:val="auto"/>
        </w:rPr>
        <w:t>Although our common stock is listed on The Nasdaq Global Market, an active trading market for our shares may not be sustained. In the absence of an active trading market for our common stock, investors may be unable to sell their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1" w:name="page82"/>
    <w:bookmarkEnd w:id="81"/>
    <w:p>
      <w:pPr>
        <w:ind w:right="140" w:firstLine="576"/>
        <w:spacing w:after="0" w:line="261" w:lineRule="auto"/>
        <w:rPr>
          <w:sz w:val="20"/>
          <w:szCs w:val="20"/>
          <w:color w:val="auto"/>
        </w:rPr>
      </w:pPr>
      <w:r>
        <w:rPr>
          <w:rFonts w:ascii="Times New Roman" w:cs="Times New Roman" w:eastAsia="Times New Roman" w:hAnsi="Times New Roman"/>
          <w:sz w:val="18"/>
          <w:szCs w:val="18"/>
          <w:color w:val="auto"/>
        </w:rPr>
        <w:t>In an effort to protect our business from cybersecurity threats, we maintain and utilize various tools and processes that are designed to identify, assess, and manage cybersecurity risks. Our cybersecurity risk management program, which has been integrated into our enterprise risk management program, is based on the National Institute of Standards and Technology (NIST) Cybersecurity Framework. Our cybersecurity risk management program focuses on monitoring the prevention, detection, mitigation, and remediation of cybersecurity risks and incidents.</w:t>
      </w:r>
    </w:p>
    <w:p>
      <w:pPr>
        <w:spacing w:after="0" w:line="72" w:lineRule="exact"/>
        <w:rPr>
          <w:sz w:val="20"/>
          <w:szCs w:val="20"/>
          <w:color w:val="auto"/>
        </w:rPr>
      </w:pPr>
    </w:p>
    <w:p>
      <w:pPr>
        <w:ind w:right="120" w:firstLine="576"/>
        <w:spacing w:after="0" w:line="254" w:lineRule="auto"/>
        <w:rPr>
          <w:sz w:val="20"/>
          <w:szCs w:val="20"/>
          <w:color w:val="auto"/>
        </w:rPr>
      </w:pPr>
      <w:r>
        <w:rPr>
          <w:rFonts w:ascii="Times New Roman" w:cs="Times New Roman" w:eastAsia="Times New Roman" w:hAnsi="Times New Roman"/>
          <w:sz w:val="18"/>
          <w:szCs w:val="18"/>
          <w:color w:val="auto"/>
        </w:rPr>
        <w:t>There are a number of components of our risk management program. We leverage external third parties for security testing on an annual basis, including penetration testing. We consistently monitor critical risks from cybersecurity threats using automated tools and have a process to implement mitigation plans. Our Security Committee, headed by the Vice President of IT and the Chief Legal Counsel, assesses and monitors any identified security incidents that impact us or our external partners. Furthermore, we assess and review the cybersecurity practices of third parties who have access to our systems and/or process our sensitive information. This assessment may involve requesting Systems and Organization Controls Type 2 reports (SOC2 reports), conversations with our Vice President of IT, and the inclusion of contractual requirements to maintain data protection safeguards and timely notification if the third party experiences a security incident which may have a critical impact on our business or our data. Additionally, we conduct cybersecurity awareness training for employees during onboarding and throughout the year, and we conduct regular phishing simulations in an effort to raise awareness of spoofed or manipulated electronic communications and other cybersecurity threats.</w:t>
      </w:r>
    </w:p>
    <w:p>
      <w:pPr>
        <w:spacing w:after="0" w:line="80" w:lineRule="exact"/>
        <w:rPr>
          <w:sz w:val="20"/>
          <w:szCs w:val="20"/>
          <w:color w:val="auto"/>
        </w:rPr>
      </w:pPr>
    </w:p>
    <w:p>
      <w:pPr>
        <w:ind w:right="60" w:firstLine="576"/>
        <w:spacing w:after="0" w:line="256" w:lineRule="auto"/>
        <w:rPr>
          <w:sz w:val="20"/>
          <w:szCs w:val="20"/>
          <w:color w:val="auto"/>
        </w:rPr>
      </w:pPr>
      <w:r>
        <w:rPr>
          <w:rFonts w:ascii="Times New Roman" w:cs="Times New Roman" w:eastAsia="Times New Roman" w:hAnsi="Times New Roman"/>
          <w:sz w:val="18"/>
          <w:szCs w:val="18"/>
          <w:color w:val="auto"/>
        </w:rPr>
        <w:t>We face a number of cybersecurity risks in connection with our business. Although such risks have not materially affected us, and we do not believe they are reasonably likely to materially affect us, our business strategy, results of operations or financial condition, we could from time to time, experience threats to and security incidents related to our third-party vendors’ information systems. For more information about the cybersecurity risks we face, see the risk factor entitled “We may be unable to adequately protect our information technology systems from cyberattacks, cyber intrusions or otherwise which could result in damage to our information technology systems and unauthorized disclosure or use of confidential or proprietary information, including personal data” in Item 1A- Risk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ind w:right="20" w:firstLine="576"/>
        <w:spacing w:after="0" w:line="256" w:lineRule="auto"/>
        <w:rPr>
          <w:sz w:val="20"/>
          <w:szCs w:val="20"/>
          <w:color w:val="auto"/>
        </w:rPr>
      </w:pPr>
      <w:r>
        <w:rPr>
          <w:rFonts w:ascii="Times New Roman" w:cs="Times New Roman" w:eastAsia="Times New Roman" w:hAnsi="Times New Roman"/>
          <w:sz w:val="18"/>
          <w:szCs w:val="18"/>
          <w:color w:val="auto"/>
        </w:rPr>
        <w:t>Our Board of Directors has delegated responsibility for overseeing our policies, practices and assessments with respect to cybersecurity and other information technology risks to the Audit Committee. Our Vice President of IT, under the supervision of our Chief Financial Officer, is responsible for the establishment and maintenance of our cybersecurity risk management program, including the day-to-day oversight of the assessment and management of cybersecurity risks. The Vice President of IT will regularly consult with outside security experts and management to evaluate certain aspects of the cybersecurity risk management program. The Vice President of IT has approximately 15 years of experience in information security and cybersecurity risk management. The IT team also institutes and maintains controls for our systems, applications, and databases.</w:t>
      </w:r>
    </w:p>
    <w:p>
      <w:pPr>
        <w:spacing w:after="0" w:line="79" w:lineRule="exact"/>
        <w:rPr>
          <w:sz w:val="20"/>
          <w:szCs w:val="20"/>
          <w:color w:val="auto"/>
        </w:rPr>
      </w:pPr>
    </w:p>
    <w:p>
      <w:pPr>
        <w:ind w:right="80" w:firstLine="576"/>
        <w:spacing w:after="0" w:line="266" w:lineRule="auto"/>
        <w:rPr>
          <w:sz w:val="20"/>
          <w:szCs w:val="20"/>
          <w:color w:val="auto"/>
        </w:rPr>
      </w:pPr>
      <w:r>
        <w:rPr>
          <w:rFonts w:ascii="Times New Roman" w:cs="Times New Roman" w:eastAsia="Times New Roman" w:hAnsi="Times New Roman"/>
          <w:sz w:val="18"/>
          <w:szCs w:val="18"/>
          <w:color w:val="auto"/>
        </w:rPr>
        <w:t>The Vice President of IT reports on the status of our cybersecurity risk management program to management and our Audit Committee on a periodic basis, which may include a discussion of the results of our annual third party cybersecurity risk assessments and critical updates to our mitigation and remediation efforts.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Our corporate headquarters is located at 201 Brookline Avenue, Boston, Massachusetts, where we lease approximately 64,805 square feet of office and laboratory space. The term of our amended lease with respect to this facility expires on January 31, 2033, however, under certain circumstances, this lease may terminate on an earlier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60" w:firstLine="576"/>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Regardless of outcome, litigation can have an adverse impact on our business, financial condition, results of operations and prospects because of defense and settlement costs, diversion of management resources and other factors.</w:t>
      </w:r>
    </w:p>
    <w:p>
      <w:pPr>
        <w:spacing w:after="0" w:line="68" w:lineRule="exact"/>
        <w:rPr>
          <w:sz w:val="20"/>
          <w:szCs w:val="20"/>
          <w:color w:val="auto"/>
        </w:rPr>
      </w:pPr>
    </w:p>
    <w:p>
      <w:pPr>
        <w:ind w:right="120" w:firstLine="576"/>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litigation or legal proceedings that, in the opinion of our management, are probable to have a material adverse effect on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82" w:name="page83"/>
    <w:bookmarkEnd w:id="8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940"/>
        <w:spacing w:after="0" w:line="44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common stock currently trades on The Nasdaq Global Market under the symbol "TNGX".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ind w:right="240" w:firstLine="576"/>
        <w:spacing w:after="0" w:line="282" w:lineRule="auto"/>
        <w:rPr>
          <w:sz w:val="20"/>
          <w:szCs w:val="20"/>
          <w:color w:val="auto"/>
        </w:rPr>
      </w:pPr>
      <w:r>
        <w:rPr>
          <w:rFonts w:ascii="Times New Roman" w:cs="Times New Roman" w:eastAsia="Times New Roman" w:hAnsi="Times New Roman"/>
          <w:sz w:val="18"/>
          <w:szCs w:val="18"/>
          <w:color w:val="auto"/>
        </w:rPr>
        <w:t>As of February 19, 2025, there were approximately 17 stockholders of record of our common stock. Certain shares are held in “street” name and accordingly, the number of beneficial owners of such shares is not known or included in the foregoing number of stockholders of record.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20" w:firstLine="576"/>
        <w:spacing w:after="0" w:line="261" w:lineRule="auto"/>
        <w:rPr>
          <w:sz w:val="20"/>
          <w:szCs w:val="20"/>
          <w:color w:val="auto"/>
        </w:rPr>
      </w:pPr>
      <w:r>
        <w:rPr>
          <w:rFonts w:ascii="Times New Roman" w:cs="Times New Roman" w:eastAsia="Times New Roman" w:hAnsi="Times New Roman"/>
          <w:sz w:val="18"/>
          <w:szCs w:val="18"/>
          <w:color w:val="auto"/>
        </w:rPr>
        <w:t>We currently intend to retain all available funds and future earnings, if any, to fund the development and expansion of our business. We have never declared or paid cash dividends on our common stock, and we do not expect to pay any cash dividends on our common stock in the foreseeable future. Payment of future dividends, if any, on our common stock will be at the discretion of our board of directors after taking into account various factors, including our financial condition, operating results, anticipated cash needs, and other factors that the board of directors may deem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The following performance graph and related information shall not be deemed to be “soliciting material” or to be “filed” with the SEC for purposes of Section 18 of the Exchange Act, nor shall such information be incorporated by reference into any future filing under the Exchange Act or the Securities Act, except to the extent that we specifically incorporate it by reference into such filing.</w:t>
      </w:r>
    </w:p>
    <w:p>
      <w:pPr>
        <w:spacing w:after="0" w:line="108" w:lineRule="exact"/>
        <w:rPr>
          <w:sz w:val="20"/>
          <w:szCs w:val="20"/>
          <w:color w:val="auto"/>
        </w:rPr>
      </w:pPr>
    </w:p>
    <w:p>
      <w:pPr>
        <w:ind w:right="40" w:firstLine="576"/>
        <w:spacing w:after="0" w:line="256" w:lineRule="auto"/>
        <w:rPr>
          <w:sz w:val="20"/>
          <w:szCs w:val="20"/>
          <w:color w:val="auto"/>
        </w:rPr>
      </w:pPr>
      <w:r>
        <w:rPr>
          <w:rFonts w:ascii="Times New Roman" w:cs="Times New Roman" w:eastAsia="Times New Roman" w:hAnsi="Times New Roman"/>
          <w:sz w:val="18"/>
          <w:szCs w:val="18"/>
          <w:color w:val="auto"/>
        </w:rPr>
        <w:t>The following performance graph compares the performance of our common stock to the Nasdaq Composite Index and to the Nasdaq Biotechnology Index from September 3, 2020, the date on which our common stock first began trading on the Nasdaq Global Market, through December 31, 2024. The comparison assumes $100 was invested in our common stock and in each of the foregoing indices after the market closed on September 3, 2020. We have not paid any dividends on our common stock, and no dividends are included in the representation of the performance of our common stock. The stock price performances included in this graph are based on historical results and are not necessarily indicative of, nor intended to, forecast future stock price performance.</w:t>
      </w:r>
    </w:p>
    <w:p>
      <w:pPr>
        <w:spacing w:after="0" w:line="187" w:lineRule="exact"/>
        <w:rPr>
          <w:sz w:val="20"/>
          <w:szCs w:val="20"/>
          <w:color w:val="auto"/>
        </w:rPr>
      </w:pPr>
    </w:p>
    <w:p>
      <w:pPr>
        <w:ind w:right="40" w:firstLine="584"/>
        <w:spacing w:after="0" w:line="258" w:lineRule="auto"/>
        <w:rPr>
          <w:sz w:val="20"/>
          <w:szCs w:val="20"/>
          <w:color w:val="auto"/>
        </w:rPr>
      </w:pPr>
      <w:r>
        <w:rPr>
          <w:rFonts w:ascii="Times New Roman" w:cs="Times New Roman" w:eastAsia="Times New Roman" w:hAnsi="Times New Roman"/>
          <w:sz w:val="18"/>
          <w:szCs w:val="18"/>
          <w:color w:val="auto"/>
        </w:rPr>
        <w:t>We were formerly known as BCTG Acquisition Corp., or BCTG, and were incorporated in Delaware in May 2020 as a special purpose acquisition company, formed for the purpose of effecting a merger, capital stock exchange, asset acquisition, stock purchase, reorganization or other similar business combination. BCTG closed its initial public offering on September 3, 2020 and began trading on the Nasdaq Market on such date. On August 10, 2021, we consummated a merger, pursuant to the Agreement and Plan of Merger, dated as of April 13, 2021, by and among BCTG, BCTG Merger Sub Inc. and Tango Therapeutics Sub, Inc. Upon the consummation of the merger, we changed our name to Tango Therapeutics, Inc.</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576580</wp:posOffset>
            </wp:positionH>
            <wp:positionV relativeFrom="page">
              <wp:posOffset>774700</wp:posOffset>
            </wp:positionV>
            <wp:extent cx="4903470" cy="41833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4903470" cy="418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5 of Form 10-K regarding equity compensation plans is incorporated herein by reference to Item 12 of Part III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right="280" w:firstLine="57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did not issue or sell any unregistered securities not previously disclosed in an Annual Report on Form 10-K or in a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4" w:name="page85"/>
    <w:bookmarkEnd w:id="84"/>
    <w:p>
      <w:pPr>
        <w:ind w:left="7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consolidated financial statements and related notes appearing elsewhere in this Annual Report on Form 10-K for the year ended December 31, 2024.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182"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Information pertaining to fiscal year 2022 was included in the Company’s Annual Report on Form 10-K for the year ended December 31, 2022 under Part II, Item 7, “Management’s Discussion and Analysis of Financial Position and Results of Operations,” which was filed with the SEC on March 27, 2023 and is incorporated by reference herein.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Tango Therapeutics was founded with a clear mission: to discover the next wave of targeted therapies in oncology by addressing the specific genetic alterations that drive cancer. We leverage our state-of-the-art target discovery platform to identify novel targets and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genetic alterations, killing those cancer cells while sparing normal cells. We also are extending this target space beyond the classic, cell-autonomous effects of tumor suppressor gene loss to include the discovery of novel targets that reverse tumor suppressor gene mediated immune evasion which prevents the immune system from recognizing and killing cancer cells. We believe our approach will provide the ability to deliver deep, durable target inhibition with favorable tolerability and safety profiles, thus potentially maximizing clinical benefit.</w:t>
      </w:r>
    </w:p>
    <w:p>
      <w:pPr>
        <w:spacing w:after="0" w:line="192"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We are currently developing two MTA-cooperative PRMT5 inhibitors: TNG462 for non-CNS cancers, including pancreatic and lung cancer, and TNG456, our next-generation, brain-penetrant PRMT5 inhibitor, for CNS cancers, including GBM.</w:t>
      </w:r>
    </w:p>
    <w:p>
      <w:pPr>
        <w:spacing w:after="0" w:line="16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November 2024, we reported positive early data from the ongoing Phase 1/2 clinical trial of TNG462, demonstrating durable clinical activity across multiple cancer types with a good safety and tolerability profile. We are currently enrolling patients in the ongoing TNG462 Phase 1/2 monotherapy clinical trial and plan to provide a clinical data update on TNG462 in 2025. Additionally, we plan to begin enrollment in multiple combinations involving TNG462 in 2025. We have initiated a robust clinical development program for TNG462, and plan to pursue monotherapy registrational clinical trials in 2026.</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November 2024, we also announced data from the Phase 1/2 clinical trial of TNG908, our first brain-penetrant PMRT5 inhibitor. The data demonstrated durable clinical activity, including RECIST partial responses across multiple tumor types (including pancreatic and lung cancer) and a good safety and tolerability profile. However, we did not observe any responses by RANO criteria in GBM, a development focus of the TNG908 program. Given that TNG462 has more favorable pharmacokinetic, pharmacodynamic and safety characteristics than TNG908, we stopped enrollment of the TNG908 clinical trial and discontinued further development in order to fully resource TNG462 and TNG456 development.</w:t>
      </w:r>
    </w:p>
    <w:p>
      <w:pPr>
        <w:spacing w:after="0" w:line="183" w:lineRule="exact"/>
        <w:rPr>
          <w:sz w:val="20"/>
          <w:szCs w:val="20"/>
          <w:color w:val="auto"/>
        </w:rPr>
      </w:pPr>
    </w:p>
    <w:p>
      <w:pPr>
        <w:jc w:val="both"/>
        <w:ind w:right="420" w:firstLine="749"/>
        <w:spacing w:after="0" w:line="266" w:lineRule="auto"/>
        <w:rPr>
          <w:sz w:val="20"/>
          <w:szCs w:val="20"/>
          <w:color w:val="auto"/>
        </w:rPr>
      </w:pPr>
      <w:r>
        <w:rPr>
          <w:rFonts w:ascii="Times New Roman" w:cs="Times New Roman" w:eastAsia="Times New Roman" w:hAnsi="Times New Roman"/>
          <w:sz w:val="18"/>
          <w:szCs w:val="18"/>
          <w:color w:val="auto"/>
        </w:rPr>
        <w:t>Based on preclinical TNG456 data showing enhanced potency and MTAP selectivity compared to TNG908 and sufficient brain penetrance, TNG456 will move into clinical development and focus on GBM. The FDA cleared the TNG456 IND in January 2025 and we plan to begin enrolling patients in a Phase 1/2 clinical trial in the first half of 2025.</w:t>
      </w:r>
    </w:p>
    <w:p>
      <w:pPr>
        <w:spacing w:after="0" w:line="176"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TNG260 is a first-in-class CoREST inhibitor, which in preclinical studies reversed the immune evasion effect of STK11 loss-of-function mutations. TNG260 has a favorable safety, tolerability and pharmacokinetic profile in dose escalation and clinical proof-of-mechanism now has been established based on pharmacodynamic data from on-treatment patient biopsies. We are enrolling patients in the dose expansion portion of the Phase 1/2 trial and we plan to provide clinical data for TNG260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Since the Company's inception, we have focused primarily on organizing and staffing our company, business planning, raising capital, discovering product candidates, securing related intellectual property, and conducting research and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5" w:name="page86"/>
    <w:bookmarkEnd w:id="85"/>
    <w:p>
      <w:pPr>
        <w:ind w:right="60"/>
        <w:spacing w:after="0" w:line="258" w:lineRule="auto"/>
        <w:rPr>
          <w:sz w:val="20"/>
          <w:szCs w:val="20"/>
          <w:color w:val="auto"/>
        </w:rPr>
      </w:pPr>
      <w:r>
        <w:rPr>
          <w:rFonts w:ascii="Times New Roman" w:cs="Times New Roman" w:eastAsia="Times New Roman" w:hAnsi="Times New Roman"/>
          <w:sz w:val="18"/>
          <w:szCs w:val="18"/>
          <w:color w:val="auto"/>
        </w:rPr>
        <w:t>development activities for our programs. To date, we have funded our operations primarily through equity financings and from the proceeds received from our collaboration agreement with Gilead. Since inception, we have raised an aggregate of $166.9 million of gross proceeds from the sale of our preferred shares, $342.1 million in gross proceeds through the closing of the Business Combination and simultaneous financing transactions, $237.1 million through our collaboration with Gilead and $123.0 million of gross proceeds through (i) $80.0 million from the private placement of common shares and pre-funded warrants to purchase common shares in August 2023 and (ii) $43.0 million from our "at-the-market" stock offering program.</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on hand as of December 31, 2024 of $257.9 million will enable us to fund our operating expenses and capital expenditure requirements at least into the third quarter of 2026. Since inception, we have incurred significant operating losses. For the years ended December 31, 2024, 2023, and 2022 our net losses were $130.3 million, $101.7 million, and $108.2 million, respectively. We had an accumulated deficit of $501.6 million as of December 31, 2024. We expect to continue to incur significant and increasing expenses and operating losses for the foreseeable future, as we advance our product candidates through preclinical and clinical development and seek regulatory approvals, manufacture drug product and drug supply, and maintain and expand our intellectual property portfolio. We also expect to hire additional personnel, pay for accounting, audit, legal, regulatory and consulting services, and pay costs associated with maintaining compliance with Nasdaq listing rules and the requirements of the U.S. Securities and Exchange Commission,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194"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18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therapies, we may not become profitable. If we fail to become profitable or are unable to sustain profitability on a continuing basis, then we may be unable to continue our operations at planned levels and be forced to reduce our operations.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Stock Offering</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September 2022, we entered into a sales agreement (the Sales Agreement) with Jefferies LLC (Jefferies) which permits us to sell from time to time, at our option, up to an aggregate of $100.0 million of shares of its common stock through Jefferies, as sales agent. Sales of the common stock, if any, will be made by methods deemed to be "at-the-market" stock offerings. The Sales Agreement will terminate upon the earliest of: (a) the sale of $100.0 million of shares of the Company's common stock or (b) the termination of the Sales Agreement by us or Jefferies. As of December 31, 2024, we had sold 4,001,200 shares of common stock under this program for gross proceeds of $43.0 million.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Agreements with Gilead Sciences</w:t>
      </w:r>
    </w:p>
    <w:p>
      <w:pPr>
        <w:spacing w:after="0" w:line="22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October 2018, we entered into a collaboration agreement (the 2018 Gilead Agreement) with Gilead Sciences, Inc. (Gilead). Pursuant to the terms of the 2018 Gilead Agreement, we received an initial upfront payment of $50.0 million. The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6" w:name="page87"/>
    <w:bookmarkEnd w:id="86"/>
    <w:p>
      <w:pPr>
        <w:spacing w:after="0" w:line="282" w:lineRule="auto"/>
        <w:rPr>
          <w:sz w:val="20"/>
          <w:szCs w:val="20"/>
          <w:color w:val="auto"/>
        </w:rPr>
      </w:pPr>
      <w:r>
        <w:rPr>
          <w:rFonts w:ascii="Times New Roman" w:cs="Times New Roman" w:eastAsia="Times New Roman" w:hAnsi="Times New Roman"/>
          <w:sz w:val="18"/>
          <w:szCs w:val="18"/>
          <w:color w:val="auto"/>
        </w:rPr>
        <w:t>upfront payment was initially recorded as deferred revenue on our balance sheet and is recognized as revenue as or when the performance obligation under the contract is satisfied.</w:t>
      </w:r>
    </w:p>
    <w:p>
      <w:pPr>
        <w:spacing w:after="0" w:line="16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August 2020, the 2018 Gilead Agreement was expanded into a broader collaboration via an amended and restated research collaboration and license agreement (the Gilead Agreement). Pursuant to the terms of the Gilead Agreement, we received an upfront payment of $125.0 million. Consistent with the treatment of the previously received upfront payment, this upfront payment was recorded as deferred revenue on our balance sheet and is recognized as revenue as or when the performance obligation under the contract is satisfied. In 2020 and 2021, Gilead elected to extend two programs for research extension fees totaling $24.0 million, which was added to our estimate of the transaction price to total $199.0 million. In June 2024, Gilead licensed a program for a $12.0 million fee, which was recognized as license revenue in the second quarter of 2024.</w:t>
      </w:r>
    </w:p>
    <w:p>
      <w:pPr>
        <w:spacing w:after="0" w:line="187"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$136.6 million has been recognized as collaboration revenue related to the upfront and research option-extension payments from the Gilead agreements.</w:t>
      </w:r>
    </w:p>
    <w:p>
      <w:pPr>
        <w:spacing w:after="0" w:line="162"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 we recognized $30.0 million, $31.5 million, and $24.9 million, respectively, of collaboration revenue associated with the Gilead agreements based on performance completed during each period.</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Refer to Note 2 and Note 3 to our audited consolidated financial statements included elsewhere in this Annual Report on Form 10-K for additional information regarding our revenue recognition accounting policy and our collaboration agreement with Gilead.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drug discovery efforts and the development of our product candidates. We expense research and development costs as incurred, which include:</w:t>
      </w:r>
    </w:p>
    <w:p>
      <w:pPr>
        <w:spacing w:after="0" w:line="54" w:lineRule="exact"/>
        <w:rPr>
          <w:sz w:val="20"/>
          <w:szCs w:val="20"/>
          <w:color w:val="auto"/>
        </w:rPr>
      </w:pPr>
    </w:p>
    <w:p>
      <w:pPr>
        <w:ind w:left="1140" w:right="520" w:hanging="383"/>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other related costs for those employees involved in research and development efforts;</w:t>
      </w:r>
    </w:p>
    <w:p>
      <w:pPr>
        <w:spacing w:after="0" w:line="53" w:lineRule="exact"/>
        <w:rPr>
          <w:rFonts w:ascii="Times New Roman" w:cs="Times New Roman" w:eastAsia="Times New Roman" w:hAnsi="Times New Roman"/>
          <w:sz w:val="18"/>
          <w:szCs w:val="18"/>
          <w:color w:val="auto"/>
        </w:rPr>
      </w:pPr>
    </w:p>
    <w:p>
      <w:pPr>
        <w:ind w:left="1140" w:right="700" w:hanging="383"/>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or CROs, as well as consultants that conduct our preclinical studies and development services;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and clinical studies;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fulfill our obligations under the collaboration with Gilead;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information technology systems, depreciation and other allocated expenses, which include direct and allocated expenses for rent, utilities and insurance.</w:t>
      </w:r>
    </w:p>
    <w:p>
      <w:pPr>
        <w:spacing w:after="0" w:line="162"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76" w:lineRule="exact"/>
        <w:rPr>
          <w:sz w:val="20"/>
          <w:szCs w:val="20"/>
          <w:color w:val="auto"/>
        </w:rPr>
      </w:pPr>
    </w:p>
    <w:p>
      <w:pPr>
        <w:ind w:right="40" w:firstLine="509"/>
        <w:spacing w:after="0" w:line="289" w:lineRule="auto"/>
        <w:rPr>
          <w:sz w:val="20"/>
          <w:szCs w:val="20"/>
          <w:color w:val="auto"/>
        </w:rPr>
      </w:pPr>
      <w:r>
        <w:rPr>
          <w:rFonts w:ascii="Times New Roman" w:cs="Times New Roman" w:eastAsia="Times New Roman" w:hAnsi="Times New Roman"/>
          <w:sz w:val="17"/>
          <w:szCs w:val="17"/>
          <w:color w:val="auto"/>
        </w:rPr>
        <w:t>Our direct external research and development expenses consist primarily of fees paid to CROs and outside consultants in connection with our preclinical and clinical development and manufacturing activities. Our direct external research and development expenses also include fees incurred under license agreements. We track these external research and development costs on a program-by-program basis once we have identified a product candidate.</w:t>
      </w:r>
    </w:p>
    <w:p>
      <w:pPr>
        <w:spacing w:after="0" w:line="15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do not allocate employee costs or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w:t>
      </w:r>
    </w:p>
    <w:p>
      <w:pPr>
        <w:spacing w:after="0" w:line="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9" w:right="419" w:bottom="1440" w:gutter="0" w:footer="0" w:header="0"/>
        </w:sectPr>
      </w:pPr>
    </w:p>
    <w:bookmarkStart w:id="87" w:name="page88"/>
    <w:bookmarkEnd w:id="87"/>
    <w:p>
      <w:pPr>
        <w:ind w:right="160"/>
        <w:spacing w:after="0" w:line="282" w:lineRule="auto"/>
        <w:rPr>
          <w:sz w:val="20"/>
          <w:szCs w:val="20"/>
          <w:color w:val="auto"/>
        </w:rPr>
      </w:pPr>
      <w:r>
        <w:rPr>
          <w:rFonts w:ascii="Times New Roman" w:cs="Times New Roman" w:eastAsia="Times New Roman" w:hAnsi="Times New Roman"/>
          <w:sz w:val="18"/>
          <w:szCs w:val="18"/>
          <w:color w:val="auto"/>
        </w:rPr>
        <w:t>identification of a product candidate as discovery costs. We use internal resources primarily to conduct our research and discovery activities as well as for managing our preclinical, development and manufacturing activities.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40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7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98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TNG462 direct program expenses</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16,161</w:t>
            </w:r>
          </w:p>
        </w:tc>
        <w:tc>
          <w:tcPr>
            <w:tcW w:w="98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TNG456 direct program expenses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TNG908 direct program expenses*</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13,587</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TNG260 direct program expenses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9,382</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TNG348 direct program expenses**</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Discovery direct program expenses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24,440</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23,426</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51,457</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38,469</w:t>
            </w:r>
          </w:p>
        </w:tc>
        <w:tc>
          <w:tcPr>
            <w:tcW w:w="100" w:type="dxa"/>
            <w:vAlign w:val="bottom"/>
          </w:tcPr>
          <w:p>
            <w:pPr>
              <w:spacing w:after="0"/>
              <w:rPr>
                <w:sz w:val="18"/>
                <w:szCs w:val="18"/>
                <w:color w:val="auto"/>
              </w:rPr>
            </w:pPr>
          </w:p>
        </w:tc>
      </w:tr>
      <w:tr>
        <w:trPr>
          <w:trHeight w:val="216"/>
        </w:trPr>
        <w:tc>
          <w:tcPr>
            <w:tcW w:w="740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Facilities and other related expenses</w:t>
            </w:r>
          </w:p>
        </w:tc>
        <w:tc>
          <w:tcPr>
            <w:tcW w:w="10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18,884</w:t>
            </w:r>
          </w:p>
        </w:tc>
        <w:tc>
          <w:tcPr>
            <w:tcW w:w="3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143,918</w:t>
            </w:r>
          </w:p>
        </w:tc>
        <w:tc>
          <w:tcPr>
            <w:tcW w:w="9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115,198</w:t>
            </w:r>
          </w:p>
        </w:tc>
        <w:tc>
          <w:tcPr>
            <w:tcW w:w="100" w:type="dxa"/>
            <w:vAlign w:val="bottom"/>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-170815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*In November 2024, we announced we stopped enrollment in the TNG908 Phase 1/2 trial due to insufficient brain exposure for GBM clinical activity and portfolio prioritization. Expenses beyond November 2024 related to previously enrolled patients and close-out clinical trial costs.</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May 2024, we announced the discontinuation of TNG348, a USP1 inhibitor, due to toxicity observed in the dose escalation portion of our Phase 1/2 clinical trial. Expenses beyond May 2024 related to close-out clinical trial costs.</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or the timing of regulatory filings in connection with clinical trials or regulatory approval,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have, and are expected to continue to, increase significantly with the commencement and continuation of our current and planned clinical trials, including our planned combination clinical trials. We anticipate that our expenses will increase substantially, particularly due to the numerous risks and uncertainties associated with developing product candidates, including the uncertainty of:</w:t>
      </w:r>
    </w:p>
    <w:p>
      <w:pPr>
        <w:spacing w:after="0" w:line="84" w:lineRule="exact"/>
        <w:rPr>
          <w:sz w:val="20"/>
          <w:szCs w:val="20"/>
          <w:color w:val="auto"/>
        </w:rPr>
      </w:pPr>
    </w:p>
    <w:p>
      <w:pPr>
        <w:ind w:left="1140" w:right="580" w:hanging="383"/>
        <w:spacing w:after="0" w:line="282"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expenses of our ongoing research activities as well as any preclinical studies, clinical trials and other research and development activities;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studies;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our clinical trials, including our combination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show safety and efficacy in our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collaboration with Gilead;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products following any regulatory approval.</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8" w:name="page89"/>
    <w:bookmarkEnd w:id="88"/>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76"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and director and officer insurance costs as well as investor and public relations expenses associated with operating as a public company.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Interest income consists of income earned and losses incurred in connection with our investments in money market funds, U.S. Treasury bills and U.S. government agency bonds.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of miscellaneous income and expense unrelated to our core operations.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provision for income tax consists of an estimate for U.S. federal and state income taxes based on enacted rates, as adjusted for allowable credits, deductions, uncertain tax positions, changes in deferred tax assets and liabilities and changes in tax law. We recorded an insignificant provision for income taxes for each of the years ended December 31,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2024 and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960" w:type="dxa"/>
            <w:vAlign w:val="bottom"/>
            <w:gridSpan w:val="5"/>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5"/>
                <w:szCs w:val="15"/>
                <w:color w:val="auto"/>
              </w:rPr>
            </w:pPr>
          </w:p>
        </w:tc>
        <w:tc>
          <w:tcPr>
            <w:tcW w:w="144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6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000" w:type="dxa"/>
            <w:vAlign w:val="bottom"/>
            <w:shd w:val="clear" w:color="auto" w:fill="CFF0FC"/>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29,969</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31,527</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(1,558 )</w:t>
            </w:r>
          </w:p>
        </w:tc>
        <w:tc>
          <w:tcPr>
            <w:tcW w:w="0" w:type="dxa"/>
            <w:vAlign w:val="bottom"/>
          </w:tcPr>
          <w:p>
            <w:pPr>
              <w:spacing w:after="0"/>
              <w:rPr>
                <w:sz w:val="1"/>
                <w:szCs w:val="1"/>
                <w:color w:val="auto"/>
              </w:rPr>
            </w:pP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42,069</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36,527</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143,918</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115,198</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43,746</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35,502</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187,664</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150,700</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(145,595 )</w:t>
            </w:r>
          </w:p>
        </w:tc>
        <w:tc>
          <w:tcPr>
            <w:tcW w:w="26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(114,173 )</w:t>
            </w:r>
          </w:p>
        </w:tc>
        <w:tc>
          <w:tcPr>
            <w:tcW w:w="3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(31,422 )</w:t>
            </w: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10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15,501</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12,563</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8"/>
              </w:rPr>
              <w:t>(130,094 )</w:t>
            </w:r>
          </w:p>
        </w:tc>
        <w:tc>
          <w:tcPr>
            <w:tcW w:w="2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(101,610 )</w:t>
            </w:r>
          </w:p>
        </w:tc>
        <w:tc>
          <w:tcPr>
            <w:tcW w:w="3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(28,484 )</w:t>
            </w:r>
          </w:p>
        </w:tc>
        <w:tc>
          <w:tcPr>
            <w:tcW w:w="0" w:type="dxa"/>
            <w:vAlign w:val="bottom"/>
          </w:tcPr>
          <w:p>
            <w:pPr>
              <w:spacing w:after="0"/>
              <w:rPr>
                <w:sz w:val="1"/>
                <w:szCs w:val="1"/>
                <w:color w:val="auto"/>
              </w:rPr>
            </w:pPr>
          </w:p>
        </w:tc>
      </w:tr>
      <w:tr>
        <w:trPr>
          <w:trHeight w:val="216"/>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(208 )</w:t>
            </w:r>
          </w:p>
        </w:tc>
        <w:tc>
          <w:tcPr>
            <w:tcW w:w="26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(134 )</w:t>
            </w:r>
          </w:p>
        </w:tc>
        <w:tc>
          <w:tcPr>
            <w:tcW w:w="3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CFF0FC"/>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8"/>
              </w:rPr>
              <w:t>(130,302 )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(101,744 )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(28,558 )</w:t>
            </w:r>
          </w:p>
        </w:tc>
        <w:tc>
          <w:tcPr>
            <w:tcW w:w="0" w:type="dxa"/>
            <w:vAlign w:val="bottom"/>
          </w:tcPr>
          <w:p>
            <w:pPr>
              <w:spacing w:after="0"/>
              <w:rPr>
                <w:sz w:val="1"/>
                <w:szCs w:val="1"/>
                <w:color w:val="auto"/>
              </w:rPr>
            </w:pPr>
          </w:p>
        </w:tc>
      </w:tr>
      <w:tr>
        <w:trPr>
          <w:trHeight w:val="534"/>
        </w:trPr>
        <w:tc>
          <w:tcPr>
            <w:tcW w:w="5480" w:type="dxa"/>
            <w:vAlign w:val="bottom"/>
            <w:tcBorders>
              <w:top w:val="single" w:sz="8" w:color="CFF0FC"/>
            </w:tcBorders>
          </w:tcPr>
          <w:p>
            <w:pPr>
              <w:spacing w:after="0"/>
              <w:rPr>
                <w:sz w:val="24"/>
                <w:szCs w:val="24"/>
                <w:color w:val="auto"/>
              </w:rPr>
            </w:pPr>
          </w:p>
        </w:tc>
        <w:tc>
          <w:tcPr>
            <w:tcW w:w="1000" w:type="dxa"/>
            <w:vAlign w:val="bottom"/>
            <w:tcBorders>
              <w:top w:val="single" w:sz="8" w:color="auto"/>
            </w:tcBorders>
          </w:tcPr>
          <w:p>
            <w:pPr>
              <w:jc w:val="right"/>
              <w:ind w:right="675"/>
              <w:spacing w:after="0"/>
              <w:rPr>
                <w:sz w:val="20"/>
                <w:szCs w:val="20"/>
                <w:color w:val="auto"/>
              </w:rPr>
            </w:pPr>
            <w:r>
              <w:rPr>
                <w:rFonts w:ascii="Times New Roman" w:cs="Times New Roman" w:eastAsia="Times New Roman" w:hAnsi="Times New Roman"/>
                <w:sz w:val="18"/>
                <w:szCs w:val="18"/>
                <w:color w:val="auto"/>
              </w:rPr>
              <w:t>86</w:t>
            </w:r>
          </w:p>
        </w:tc>
        <w:tc>
          <w:tcPr>
            <w:tcW w:w="68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-1979295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-1979295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-1422400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-1422400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-847725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-847725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9" w:name="page90"/>
    <w:bookmarkEnd w:id="89"/>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 of $30.0 million and $31.5 million for the years ended December 31, 2024 and 2023, respectively, was derived from the Gilead collaboration. The decrease of $1.6 million is primarily due to lower research costs incurred under the collaboration during the year ended December 31, 2024 resulting in lower collaboration revenue recognized.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2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License revenue of $12.1 million for the year ended December 31, 2024 was primarily derived from the Gilead collaboration. The increase of $7.1 million is primarily due to Gilead licensing a program for $12.0 million during the second quarter of 2024 as compared to licensing an earlier stage program for $5.0 million during the year ended December 31, 2023.</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was $143.9 million for the year ended December 31, 2024 compared to $115.2 million for the year ended December 31, 2023. The increase of $28.7 million was due to a $14.4 million increase primarily relating to the advancement of TNG462 and TNG456. Additionally, the increase was also due to a $13.0 million increase in personnel-related costs due to an increase in share-based compensation expense and additional headcount.</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$43.7 million for the year ended December 31, 2024 compared to $35.5 million for the year ended December 31, 2023. The increase of $8.2 million was primarily due to a $6.6 million increase in personnel-related costs due to an increase in share-based compensation expense and additional headcount.</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Interest income was $7.9 million for the year ended December 31, 2024 compared to $6.6 million for the year ended December 31, 2023. The increase of $1.3 million was primarily due to a higher average portfolio balance in 2024 compared to 2023, partially offset by declining rates throughout 2024.</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Other income, net was $7.6 million for the year ended December 31, 2024 compared to $5.9 million for the year ended December 31, 2023, with the increase being attributed to accretion on investments purchased at a discount.</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Provision for income taxes was $0.2 million for the year ended December 31, 2024 compared to $0.1 million for the year ended December 31, 2023.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 amount for both periods is primarily attributable to state taxes on interest income earned on marketable securities.</w:t>
      </w:r>
    </w:p>
    <w:p>
      <w:pPr>
        <w:spacing w:after="0" w:line="203"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Since our inception, we have generated recurring net losses. We have not yet commercialized any products and we do not expect to generate revenue from sales of any products for several years, if at all. To date, we have funded our operations primarily through equity financings and from the proceeds received from our collaboration agreement with Gilead. Since inception, we have raised an aggregate of $166.9 million of gross proceeds from the sale of our preferred shares, $342.1 million in gross proceeds from the Business Combination and simultaneous financing transactions, $123.0 million of gross proceeds through (i) the $80.0 million private placement of common shares and pre-funded warrants to purchase common shares in August 2023, and (ii) the $43.0 million from our "at-the-market" stock offering program, and another $237.1 million through our collaboration with Gilead. As of December 31, 2024, we had cash and cash equivalents and marketable securities of $257.9 million.</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90" w:name="page91"/>
    <w:bookmarkEnd w:id="9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on hand as of December 31, 2024 of $257.9 million will enable us to fund our operating expenses and capital expenditure requirements at least into the third quarter of 2026. We have based this estimate on assumptions that may prove to be wrong, and we could expend our capital resources sooner than we expect.</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years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4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5"/>
                <w:szCs w:val="15"/>
                <w:color w:val="auto"/>
              </w:rPr>
            </w:pPr>
          </w:p>
        </w:tc>
        <w:tc>
          <w:tcPr>
            <w:tcW w:w="106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(131,501 )</w:t>
            </w: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(117,982 )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(13,519 )</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47,664</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82,406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(34,742 )</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24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24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(3,561 )</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Net cash used in operating activities was $131.5 million for the year ended December 31, 2024 compared to net cash used in operating activities of $118.0 million for the year ended December 31, 2023. The increase in net cash used in operating activities for the twelve months ended December 31, 2024 was primarily due to an increase to the net loss as a result of higher operating expenses related to the advancement of our programs and personnel-related costs. The increase was partially offset by changes in operating assets and liabilities and higher non-cash expenses, including stock-based compensation.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$86.1 million for the year ended December 31, 2024 compared to net cash provided by investing activities of $41.4 million for the year ended December 31, 2023. The change was primarily due to a decrease in purchases of marketable securities as compared to the year ended December 31, 2023, which was partially offset by a decrease in sales and maturities of marketable securities as compared to the year ended December 31, 2023.</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was $47.7 million for the year ended December 31, 2024 compared to net cash provided by financing activities of $82.4 million for the year ended December 31, 2023. The cash provided by financing activities for the twelve months ended December 31, 2024 consisted of the $41.7 million in net proceeds received from our "at-the-market" stock offering program in January 2024, as well as the cash provided from the exercises of stock options and ESPP purchases. The cash provided by financing activities for the twelve months ended December 31, 2023 consisted of the net proceeds received from our private placement financing transaction in August 2023 of $79.8 million, as well as the cash provided from the exercises of stock options and ESPP purchases.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at December 31, 2024 and the effects that such obligations are expected to have on our liquidity and cash flows in future periods: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center"/>
              <w:ind w:left="662"/>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142"/>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50,100</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11,725</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12,440</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20,670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4"/>
        </w:trPr>
        <w:tc>
          <w:tcPr>
            <w:tcW w:w="5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-993775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-993775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-993775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-993775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-993775</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1" w:name="page92"/>
    <w:bookmarkEnd w:id="91"/>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commitment amounts in the table above primarily reflect the minimum payments due under our amended operating lease for office and laboratory space at our 201 Brookline Avenue, Boston, Massachusetts location. These commitments are also recognized as operating lease liabilities in our balance sheet at December 31, 2024. Refer to Note 7 to our audited consolidated financial statements and related notes included in this Annual Report on Form 10-K for additional discussion of the lease.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22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contracts with third parties for preclinical studies, clinical operations, manufacturing and research and development supplies. These contracts generally do not contain minimum purchase commitments and generally provide for termination on notice, and therefore are cancellable contracts. These payments are not included in the table above as the amount and timing of such payments are not known as of December 31, 2024.</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Agreement Obligations</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also entered into a license agreement under which we may be obligated to make milestone and royalty payments. We have not included future milestone or royalty payments under the agreement in the table above since the payment obligations are contingent upon future events, such as achieving certain development, regulatory, and commercial milestones or generating product sales. As of December 31, 2024 and December 31, 2023, we were unable to estimate the timing or likelihood of achieving these milestones or generating future product sales. Refer to Note 8 of our audited consolidated financial statements and related notes for the year ended December 31, 2024 included in this Annual Report on Form 10-K for a description of our license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and at the time these estimates are made, the results of which form the basis for making judgments about the carrying values of assets and liabilities that are not readily apparent from other sources. We evaluate our estimates and assumptions on an ongoing basis. Some of the judgments and estimates we make can be subjective and complex.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88"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and related notes included in this Annual Report on Form 10-K for the year ended December 31, 2024, we believe that the following accounting policies are those most critical to the judgments and estimates used in the preparation of our financial statements.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60"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recognize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likely. At contract inception, once the contract is determined to be within the scope of ASC 606, we assess whether the goods or services promised within each contract are distinct and, therefore, represent a separate performance</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92" w:name="page93"/>
    <w:bookmarkEnd w:id="92"/>
    <w:p>
      <w:pPr>
        <w:ind w:right="40"/>
        <w:spacing w:after="0" w:line="261" w:lineRule="auto"/>
        <w:rPr>
          <w:sz w:val="20"/>
          <w:szCs w:val="20"/>
          <w:color w:val="auto"/>
        </w:rPr>
      </w:pPr>
      <w:r>
        <w:rPr>
          <w:rFonts w:ascii="Times New Roman" w:cs="Times New Roman" w:eastAsia="Times New Roman" w:hAnsi="Times New Roman"/>
          <w:sz w:val="18"/>
          <w:szCs w:val="18"/>
          <w:color w:val="auto"/>
        </w:rPr>
        <w:t>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p>
    <w:p>
      <w:pPr>
        <w:spacing w:after="0" w:line="192"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180"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certain instances, the timing of and total costs of satisfying these obligations under our collaboration agreement can be difficult to estimate. Accordingly, our estimates may change in the future. If these estimates and judgments change over the course of these agreements, it may affect the timing and amount of revenue that we will recognize and record in future periods.</w:t>
      </w:r>
    </w:p>
    <w:p>
      <w:pPr>
        <w:spacing w:after="0" w:line="176" w:lineRule="exact"/>
        <w:rPr>
          <w:sz w:val="20"/>
          <w:szCs w:val="20"/>
          <w:color w:val="auto"/>
        </w:rPr>
      </w:pPr>
    </w:p>
    <w:p>
      <w:pPr>
        <w:jc w:val="both"/>
        <w:ind w:right="260" w:firstLine="509"/>
        <w:spacing w:after="0" w:line="261" w:lineRule="auto"/>
        <w:rPr>
          <w:sz w:val="20"/>
          <w:szCs w:val="20"/>
          <w:color w:val="auto"/>
        </w:rPr>
      </w:pPr>
      <w:r>
        <w:rPr>
          <w:rFonts w:ascii="Times New Roman" w:cs="Times New Roman" w:eastAsia="Times New Roman" w:hAnsi="Times New Roman"/>
          <w:sz w:val="18"/>
          <w:szCs w:val="18"/>
          <w:color w:val="auto"/>
        </w:rPr>
        <w:t>Under ASC 606, we will recognize revenue when we fulfill our performance obligations under the agreements with customers. As the required performance obligation is satisfied, we will recognize revenue for the portion satisfied and record a receivable for any fees that have not been received. Amounts are recorded as short-term collaboration receivables when our right to consideration is unconditional. A contract liability is recognized when a customer prepays consideration or owes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93" w:name="page94"/>
    <w:bookmarkEnd w:id="93"/>
    <w:p>
      <w:pPr>
        <w:ind w:right="60"/>
        <w:spacing w:after="0" w:line="261" w:lineRule="auto"/>
        <w:rPr>
          <w:sz w:val="20"/>
          <w:szCs w:val="20"/>
          <w:color w:val="auto"/>
        </w:rPr>
      </w:pPr>
      <w:r>
        <w:rPr>
          <w:rFonts w:ascii="Times New Roman" w:cs="Times New Roman" w:eastAsia="Times New Roman" w:hAnsi="Times New Roman"/>
          <w:sz w:val="18"/>
          <w:szCs w:val="18"/>
          <w:color w:val="auto"/>
        </w:rPr>
        <w:t>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and adopted accounting pronouncements that may potentially impact our financial position, results of operations or cash flows is disclosed in Note 2 to our audited consolidated financial statements and related notes in this Annual Report on Form 10-K for the year ended December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Market risk represents the risk of loss that may impact our financial position due to adverse changes in financial market prices and rates.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had cash, cash equivalents and marketable securities of $257.9 million and $336.9 million as of December 31, 2024 and December 31, 2023, respectively, which consisted of cash, money market funds, U.S. Treasury bills and U.S. government agency bonds. Interest income is sensitive to changes in the general level of interest rates. Due to the short-term duration of our investment portfolio and the low risk profile of our investments, we believe an immediate 1%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reporting and functional currency is the U.S. dollar. We currently do not have significant exposure to foreign currencies as we hold no foreign exchange contracts, option contracts, or other foreign hedging arrangements. Our operations may be subject to fluctuations in foreign currency exchange rates in the future.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94" w:name="page95"/>
    <w:bookmarkEnd w:id="94"/>
    <w:p>
      <w:pPr>
        <w:ind w:left="520"/>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2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Our operations may be subject to inflation in the future. Inflation generally affects us by increasing our cost of labor, clinical trial and manufacturing costs and indirectly increasing interest rates. We have not seen a significant impact from inflation on our business, financial condition or results of operations during the twelve months ended December 31, 2024. However, if inflation were to increase, or remain at an elevated level for an extended period of time, our costs are likely to increase, which may negatively impact our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together with the report of the independent registered public accounting firm, are appended to this Annual Report on Form 10-K and an index of those consolidated financial statements can be found beginning on page F-1.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Annual Report on Form 10-K. The term “disclosure controls and procedures,” as defined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December 31,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paragraph</w:t>
      </w:r>
    </w:p>
    <w:p>
      <w:pPr>
        <w:spacing w:after="0" w:line="27" w:lineRule="exact"/>
        <w:rPr>
          <w:sz w:val="20"/>
          <w:szCs w:val="20"/>
          <w:color w:val="auto"/>
        </w:rPr>
      </w:pPr>
    </w:p>
    <w:p>
      <w:pPr>
        <w:ind w:right="380" w:firstLine="8"/>
        <w:spacing w:after="0" w:line="260" w:lineRule="auto"/>
        <w:tabs>
          <w:tab w:leader="none" w:pos="2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Rules 13a-15 and 15d-15(d) under the Exchange Act that occurred during the quarter ended December 31, 2024 that materially affected, or were reasonably likely to materially affect, the Company’s internal control over financial reporting.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as such term is defined in Rules 13a-15(f) and 1t5d-15(f) under the Exchange Act. Our management, including our Chief Executive Officer and Chief Financial Officer, conducted an assessment of the effectiveness of the Company's internal control over financial reporting based on the criteria set forth in </w:t>
      </w:r>
      <w:r>
        <w:rPr>
          <w:rFonts w:ascii="Times New Roman" w:cs="Times New Roman" w:eastAsia="Times New Roman" w:hAnsi="Times New Roman"/>
          <w:sz w:val="18"/>
          <w:szCs w:val="18"/>
          <w:i w:val="1"/>
          <w:iCs w:val="1"/>
          <w:color w:val="auto"/>
        </w:rPr>
        <w:t>Internal Control-Integrated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 of the Treadway Commission. Based on this assessment, management concluded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as of December 31, 2024, our internal control over financial reporting was effective.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95" w:name="page96"/>
    <w:bookmarkEnd w:id="95"/>
    <w:p>
      <w:pPr>
        <w:jc w:val="both"/>
        <w:ind w:firstLine="509"/>
        <w:spacing w:after="0" w:line="312" w:lineRule="auto"/>
        <w:rPr>
          <w:sz w:val="20"/>
          <w:szCs w:val="20"/>
          <w:color w:val="auto"/>
        </w:rPr>
      </w:pPr>
      <w:r>
        <w:rPr>
          <w:rFonts w:ascii="Times New Roman" w:cs="Times New Roman" w:eastAsia="Times New Roman" w:hAnsi="Times New Roman"/>
          <w:sz w:val="17"/>
          <w:szCs w:val="17"/>
          <w:color w:val="auto"/>
        </w:rPr>
        <w:t>The effectiveness of the Company’s internal control over financial reporting as of December 31, 2024 has been audited by PricewaterhouseCoopers LLP, an independent registered public accounting firm, as stated in their report which appears beginning on page F-2 of this Annual Report on Form 10-K.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Insider Adoption or Termination of Trading Arrangements</w:t>
      </w:r>
    </w:p>
    <w:p>
      <w:pPr>
        <w:spacing w:after="0" w:line="22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During the fiscal quarter ended December 31, 2024, none of our directors or officers informed us of the adoption or termination of a “Rule 10b5-1 trading arrangement” or “non-Rule 10b5-1 trading arrangement,” as those terms are defined in Item 408 under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9" w:right="41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Except as set forth below, the information required by this Item 10 will be included in our definitive proxy statement to be filed with the Securities and Exchange Commission, or SEC, within 120 days after the end of the fiscal year ended December 31, 2024, with respect to our 2025 Annual Meeting of Stockholders and is incorporated herein by reference.</w:t>
      </w:r>
    </w:p>
    <w:p>
      <w:pPr>
        <w:spacing w:after="0" w:line="17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have adopted a Code of Conduct that applies to all of our directors, officers and employees, including our principal executive officer and principal financial officer. The Code of Conduct is posted on our website at https://ir.tangotx.com/corporate-governance/governance-overview. We intend to satisfy the disclosure requirement under Item 5.05 of Form 8-K regarding an amendment to, or waiver from, a provision of this Code of Conduct by posting such information on our website, at the address and location specified above and, to the extent required by the listing standards of The Nasdaq Global Stock Market, by filing a Current Report on Form 8-K with the SEC, disclosing such information.</w:t>
      </w:r>
    </w:p>
    <w:p>
      <w:pPr>
        <w:spacing w:after="0" w:line="183"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Information concerning our policies and procedures governing the purchase and sale or other disposition of Company securities by directors, officers and employees, as required by this Item, is set forth under the caption “Policy on Trading, Pledging and Hedging of Company Stock” in the definitive proxy materials that we will file with respect to our 2025 Annual Meeting of Shareholders and is incorporated herein by reference. Our Insider Trading Policy is filed as Exhibit 19 to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within 120 days after the end of the fiscal year ended December 31, 2024, with respect to our 2025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 within 120 days after the end of the fiscal year ended December 31, 2024, with respect to our 2025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within 120 days after the end of the fiscal year ended December 31, 2024, with respect to our 2025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independent public accounting firm is PricewaterhouseCoopers LLP, Boston, Massachusetts, PCAOB Auditor ID 238.</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within 120 days after the end of the fiscal year ended December 31, 2024, with respect to our 2025 Annual Meeting of Stockholders and is incorporated herein by reference.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7" w:name="page98"/>
    <w:bookmarkEnd w:id="97"/>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the Index to the Consolidated Financial Statements section beginning on page F-1 of this Annual Report on Form 10-K.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as they are not required, not applicable, or the required information is included in the financial statements or notes to the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Exhibits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required by Item 601 of Regulation S-K and Item 15(b) of this Annual Report on Form 10-K are listed in the Exhibit Index below.</w:t>
      </w:r>
    </w:p>
    <w:p>
      <w:pPr>
        <w:spacing w:after="0" w:line="200" w:lineRule="exact"/>
        <w:rPr>
          <w:sz w:val="20"/>
          <w:szCs w:val="20"/>
          <w:color w:val="auto"/>
        </w:rPr>
      </w:pPr>
    </w:p>
    <w:p>
      <w:pPr>
        <w:spacing w:after="0" w:line="34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9" w:right="47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300" w:type="dxa"/>
            <w:vAlign w:val="bottom"/>
            <w:gridSpan w:val="32"/>
          </w:tcPr>
          <w:p>
            <w:pPr>
              <w:jc w:val="center"/>
              <w:ind w:right="49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0" w:type="dxa"/>
            <w:vAlign w:val="bottom"/>
            <w:gridSpan w:val="29"/>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800" w:type="dxa"/>
            <w:vAlign w:val="bottom"/>
            <w:tcBorders>
              <w:bottom w:val="single" w:sz="8" w:color="auto"/>
            </w:tcBorders>
            <w:gridSpan w:val="2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20" w:type="dxa"/>
            <w:vAlign w:val="bottom"/>
            <w:tcBorders>
              <w:bottom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Second Amended and Restated Certificate of Incorporation of Tango Therapeutics, Inc. (incorporated by reference to Exhibit 3.1 to</w:t>
              </w:r>
            </w:hyperlink>
          </w:p>
        </w:tc>
        <w:tc>
          <w:tcPr>
            <w:tcW w:w="22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8"/>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the Registrant’s Quarterly Report on Form 10-Q filed with the SEC on August 7,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Amended and Restated Bylaws of Tango Therapeutics, Inc. (incorporated by reference to Exhibit 4.2 to the Registrant’s registration</w:t>
              </w:r>
            </w:hyperlink>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8"/>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statement on Form S-8 filed with the SEC on October 14,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Specimen Common Stock Certificate of the Registrant (incorporated by reference to Exhibit 4.5 to the Registration Statement on Form</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8"/>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S-4/A filed by the Registrant on July 15,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Description of Securities (incorporated by reference to Exhibit 4.2 to the Annual Report on Form 10-K filed by the Registrant on</w:t>
              </w:r>
            </w:hyperlink>
          </w:p>
        </w:tc>
        <w:tc>
          <w:tcPr>
            <w:tcW w:w="4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8"/>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March 27,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Tango Therapeutics, Inc. Form of Pre-Funded Warrant to Purchase Common Stock (incorporated by reference to Exhibit 4.1 to the</w:t>
              </w:r>
            </w:hyperlink>
          </w:p>
        </w:tc>
        <w:tc>
          <w:tcPr>
            <w:tcW w:w="2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8"/>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Current Report on Form 8-K filed by the Registrant on August 10,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Amended and Restated Registration and Stockholder Rights Agreement, dated August 10, 2021, by and among Tango Therapeutics,</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Inc. and the stockholders party thereto (incorporated by reference to Exhibit 10.2 to the Current Report on Form 8-K filed by the</w:t>
              </w:r>
            </w:hyperlink>
          </w:p>
        </w:tc>
        <w:tc>
          <w:tcPr>
            <w:tcW w:w="4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8"/>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Tango Therapeutics, Inc. 2021 Stock Option and Incentive Plan (incorporated by reference to Exhibit 10.4 to the Current Report on</w:t>
              </w:r>
            </w:hyperlink>
          </w:p>
        </w:tc>
        <w:tc>
          <w:tcPr>
            <w:tcW w:w="2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8"/>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8-K filed by the 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Tango Therapeutics, Inc. 2017 Stock Option and Grant Plan, as amended, and forms of award agreements thereunder (incorporated by</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reference to Exhibit 99.4 to Form S-8 filed by the Registrant on October 14, 2021).</w:t>
              </w:r>
            </w:hyperlink>
          </w:p>
        </w:tc>
        <w:tc>
          <w:tcPr>
            <w:tcW w:w="20" w:type="dxa"/>
            <w:vAlign w:val="bottom"/>
            <w:tcBorders>
              <w:bottom w:val="single" w:sz="8" w:color="0000EE"/>
            </w:tcBorders>
          </w:tcPr>
          <w:p>
            <w:pPr>
              <w:spacing w:after="0"/>
              <w:rPr>
                <w:sz w:val="17"/>
                <w:szCs w:val="17"/>
                <w:color w:val="auto"/>
              </w:rPr>
            </w:pPr>
          </w:p>
        </w:tc>
        <w:tc>
          <w:tcPr>
            <w:tcW w:w="37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Forms of Award Agreements under the Tango Therapeutics, Inc. 2021 Stock Option and Incentive Plan (incorporated by reference to</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8"/>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Exhibit 10.5 to the Current Report on Form 8-K filed by the 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Tango Therapeutics, Inc. 2021 Employee Stock Purchase Plan (incorporated by reference to Exhibit 10.6 to the Current Report on</w:t>
              </w:r>
            </w:hyperlink>
          </w:p>
        </w:tc>
        <w:tc>
          <w:tcPr>
            <w:tcW w:w="3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8"/>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8-K filed by the 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Amended and Restated Research Collaboration and License Agreement between Tango Therapeutics, Inc. and Gilead Sciences, Inc.,</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dated August 17, 2020 (incorporated by reference to Exhibit 10.19 to the Registration Statement on Form S-4/A filed by the Registrant</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8"/>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on June 17,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Executive Employment Agreement (incorporated by reference to Exhibit 10.7 to the Current Report on Form 8-K filed by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8"/>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Borders>
              <w:right w:val="single" w:sz="8" w:color="0000EE"/>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Indemnification Agreement (Directors) (incorporated by reference to Exhibit 10.9 to the Current Report on Form 8-K filed by</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8"/>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the 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of Indemnification Agreement (Officers) (incorporated by reference to Exhibit 10.10 to the Current Report on Form 8-K filed by</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8"/>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the 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Senior Executive Cash Annual Incentive Plan (incorporated by reference to Exhibit 10.11 to the Current Report on Form 8-K filed by</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8"/>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the 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10.12</w:t>
            </w: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Lease Agreement between the Company and ARE-MA Region No. 87 Tenant, LLC dated as of November 4, 2021 (incorporated by</w:t>
              </w:r>
            </w:hyperlink>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reference to Exhibit 10.14 to the Annual Report on Form 10-K filed by the Registrant on March 28, 2022).</w:t>
              </w:r>
            </w:hyperlink>
          </w:p>
        </w:tc>
        <w:tc>
          <w:tcPr>
            <w:tcW w:w="20" w:type="dxa"/>
            <w:vAlign w:val="bottom"/>
            <w:tcBorders>
              <w:bottom w:val="single" w:sz="8" w:color="0000EE"/>
            </w:tcBorders>
          </w:tcPr>
          <w:p>
            <w:pPr>
              <w:spacing w:after="0"/>
              <w:rPr>
                <w:sz w:val="17"/>
                <w:szCs w:val="17"/>
                <w:color w:val="auto"/>
              </w:rPr>
            </w:pPr>
          </w:p>
        </w:tc>
        <w:tc>
          <w:tcPr>
            <w:tcW w:w="20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Tango Therapeutics, Inc. 2023 Inducement Plan and forms of award agreements thereunder (incorporated by reference to Exhibit 99.1</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2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to the Registration Statement on Form S-8 filed by the Registrant on February 7, 2023).</w:t>
              </w:r>
            </w:hyperlink>
          </w:p>
        </w:tc>
        <w:tc>
          <w:tcPr>
            <w:tcW w:w="34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Amended and Restated Non-Employee Director Compensation Policy (incorporated by reference to Exhibit 10.1 to the Quarterly</w:t>
              </w:r>
            </w:hyperlink>
          </w:p>
        </w:tc>
        <w:tc>
          <w:tcPr>
            <w:tcW w:w="4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8"/>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Report on Form 10-Q filed by the Registrant on August 7,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Securities Purchase Agreement between Tango Therapeutics, Inc. and the parties thereto (incorporated by reference to Exhibit 10.1 to</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8"/>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the Current Report on Form 8-K filed by the Registrant on August 10, 2023).</w:t>
              </w:r>
            </w:hyperlink>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Insider Trading Policy of Tango Therapeutics, Inc.</w:t>
            </w:r>
          </w:p>
        </w:tc>
        <w:tc>
          <w:tcPr>
            <w:tcW w:w="20" w:type="dxa"/>
            <w:vAlign w:val="bottom"/>
            <w:tcBorders>
              <w:top w:val="single" w:sz="8" w:color="0000FF"/>
              <w:bottom w:val="single" w:sz="8" w:color="0000EE"/>
            </w:tcBorders>
          </w:tcPr>
          <w:p>
            <w:pPr>
              <w:spacing w:after="0"/>
              <w:rPr>
                <w:sz w:val="17"/>
                <w:szCs w:val="17"/>
                <w:color w:val="auto"/>
              </w:rPr>
            </w:pPr>
          </w:p>
        </w:tc>
        <w:tc>
          <w:tcPr>
            <w:tcW w:w="1860" w:type="dxa"/>
            <w:vAlign w:val="bottom"/>
            <w:tcBorders>
              <w:top w:val="single" w:sz="8" w:color="0000FF"/>
            </w:tcBorders>
            <w:gridSpan w:val="7"/>
          </w:tcPr>
          <w:p>
            <w:pPr>
              <w:spacing w:after="0"/>
              <w:rPr>
                <w:sz w:val="17"/>
                <w:szCs w:val="17"/>
                <w:color w:val="auto"/>
              </w:rPr>
            </w:pPr>
          </w:p>
        </w:tc>
        <w:tc>
          <w:tcPr>
            <w:tcW w:w="42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List of subsidiaries of Tango Therapeutics, Inc. (incorporated by reference to Exhibit 21.1 to the Annual Report on Form 10-K filed by</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the Registrant on March 18, 2024)</w:t>
              </w:r>
            </w:hyperlink>
          </w:p>
        </w:tc>
        <w:tc>
          <w:tcPr>
            <w:tcW w:w="100" w:type="dxa"/>
            <w:vAlign w:val="bottom"/>
            <w:tcBorders>
              <w:bottom w:val="single" w:sz="8" w:color="0000EE"/>
            </w:tcBorders>
          </w:tcPr>
          <w:p>
            <w:pPr>
              <w:spacing w:after="0"/>
              <w:rPr>
                <w:sz w:val="17"/>
                <w:szCs w:val="17"/>
                <w:color w:val="auto"/>
              </w:rPr>
            </w:pPr>
          </w:p>
        </w:tc>
        <w:tc>
          <w:tcPr>
            <w:tcW w:w="716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Consent of PricewaterhouseCoopers LLP, independent registered public accounting firm of Tango Therapeutics, Inc.</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80" w:type="dxa"/>
            <w:vAlign w:val="bottom"/>
            <w:gridSpan w:val="1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40" w:type="dxa"/>
            <w:vAlign w:val="bottom"/>
            <w:tcBorders>
              <w:right w:val="single" w:sz="8" w:color="0000EE"/>
            </w:tcBorders>
            <w:gridSpan w:val="9"/>
            <w:shd w:val="clear" w:color="auto" w:fill="0000FF"/>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bottom w:val="single" w:sz="8" w:color="0000FF"/>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47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bottom w:val="single" w:sz="8" w:color="0000FF"/>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76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240" w:type="dxa"/>
            <w:vAlign w:val="bottom"/>
          </w:tcPr>
          <w:p>
            <w:pPr>
              <w:spacing w:after="0"/>
              <w:rPr>
                <w:sz w:val="24"/>
                <w:szCs w:val="24"/>
                <w:color w:val="auto"/>
              </w:rPr>
            </w:pPr>
          </w:p>
        </w:tc>
        <w:tc>
          <w:tcPr>
            <w:tcW w:w="4920" w:type="dxa"/>
            <w:vAlign w:val="bottom"/>
            <w:gridSpan w:val="12"/>
          </w:tcPr>
          <w:p>
            <w:pPr>
              <w:jc w:val="right"/>
              <w:ind w:right="368"/>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9" w:name="page100"/>
    <w:bookmarkEnd w:id="99"/>
    <w:tbl>
      <w:tblPr>
        <w:tblLayout w:type="fixed"/>
        <w:tblInd w:w="2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7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96"/>
        </w:trPr>
        <w:tc>
          <w:tcPr>
            <w:tcW w:w="1480" w:type="dxa"/>
            <w:vAlign w:val="bottom"/>
          </w:tcPr>
          <w:p>
            <w:pPr>
              <w:spacing w:after="0"/>
              <w:rPr>
                <w:sz w:val="17"/>
                <w:szCs w:val="17"/>
                <w:color w:val="auto"/>
              </w:rPr>
            </w:pPr>
          </w:p>
        </w:tc>
        <w:tc>
          <w:tcPr>
            <w:tcW w:w="960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10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5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p>
        </w:tc>
        <w:tc>
          <w:tcPr>
            <w:tcW w:w="140" w:type="dxa"/>
            <w:vAlign w:val="bottom"/>
            <w:gridSpan w:val="2"/>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7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48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0" w:type="dxa"/>
            <w:vAlign w:val="bottom"/>
            <w:gridSpan w:val="3"/>
          </w:tcPr>
          <w:p>
            <w:pPr>
              <w:spacing w:after="0" w:line="20" w:lineRule="exact"/>
              <w:rPr>
                <w:sz w:val="1"/>
                <w:szCs w:val="1"/>
                <w:color w:val="auto"/>
              </w:rPr>
            </w:pPr>
          </w:p>
        </w:tc>
      </w:tr>
      <w:tr>
        <w:trPr>
          <w:trHeight w:val="196"/>
        </w:trPr>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97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Tango Therapeutics, Inc. Compensation Recovery Policy (incorporated by reference to Exhibit 97.1 to the Annual Report on Form 10-</w:t>
              </w:r>
            </w:hyperlink>
          </w:p>
        </w:tc>
      </w:tr>
      <w:tr>
        <w:trPr>
          <w:trHeight w:val="196"/>
        </w:trPr>
        <w:tc>
          <w:tcPr>
            <w:tcW w:w="1480" w:type="dxa"/>
            <w:vAlign w:val="bottom"/>
          </w:tcPr>
          <w:p>
            <w:pPr>
              <w:spacing w:after="0"/>
              <w:rPr>
                <w:sz w:val="17"/>
                <w:szCs w:val="17"/>
                <w:color w:val="auto"/>
              </w:rPr>
            </w:pPr>
          </w:p>
        </w:tc>
        <w:tc>
          <w:tcPr>
            <w:tcW w:w="33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K filed by the Registrant on March 18, 2024).</w:t>
              </w:r>
            </w:hyperlink>
          </w:p>
        </w:tc>
        <w:tc>
          <w:tcPr>
            <w:tcW w:w="6400" w:type="dxa"/>
            <w:vAlign w:val="bottom"/>
            <w:gridSpan w:val="3"/>
          </w:tcPr>
          <w:p>
            <w:pPr>
              <w:spacing w:after="0"/>
              <w:rPr>
                <w:sz w:val="17"/>
                <w:szCs w:val="17"/>
                <w:color w:val="auto"/>
              </w:rPr>
            </w:pPr>
          </w:p>
        </w:tc>
      </w:tr>
      <w:tr>
        <w:trPr>
          <w:trHeight w:val="21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16"/>
        </w:trPr>
        <w:tc>
          <w:tcPr>
            <w:tcW w:w="1480" w:type="dxa"/>
            <w:vAlign w:val="bottom"/>
          </w:tcPr>
          <w:p>
            <w:pPr>
              <w:spacing w:after="0"/>
              <w:rPr>
                <w:sz w:val="18"/>
                <w:szCs w:val="18"/>
                <w:color w:val="auto"/>
              </w:rPr>
            </w:pPr>
          </w:p>
        </w:tc>
        <w:tc>
          <w:tcPr>
            <w:tcW w:w="9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500" w:hanging="1479"/>
        <w:spacing w:after="0"/>
        <w:tabs>
          <w:tab w:leader="none" w:pos="15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8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4230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1"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exhibit (indicated by asterisks) have been omitted in accordance with Item 601(b)(10) of Regulation S-K.</w:t>
      </w:r>
    </w:p>
    <w:p>
      <w:pPr>
        <w:spacing w:after="0" w:line="6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Indicates a management contract or any compensatory plan, contract or arrangement.</w:t>
      </w:r>
    </w:p>
    <w:p>
      <w:pPr>
        <w:spacing w:after="0" w:line="61" w:lineRule="exact"/>
        <w:rPr>
          <w:sz w:val="20"/>
          <w:szCs w:val="20"/>
          <w:color w:val="auto"/>
        </w:rPr>
      </w:pPr>
    </w:p>
    <w:p>
      <w:pPr>
        <w:ind w:left="520" w:right="100" w:hanging="512"/>
        <w:spacing w:after="0" w:line="281" w:lineRule="auto"/>
        <w:tabs>
          <w:tab w:leader="none" w:pos="353"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exhibit (indicated by brackets and asterisks) have been omitted because the registrant has determined that the information is both not material and is the type that the registrant treats as private or confidential.</w:t>
      </w:r>
    </w:p>
    <w:p>
      <w:pPr>
        <w:spacing w:after="0" w:line="1" w:lineRule="exact"/>
        <w:rPr>
          <w:sz w:val="20"/>
          <w:szCs w:val="20"/>
          <w:color w:val="auto"/>
        </w:rPr>
      </w:pPr>
    </w:p>
    <w:p>
      <w:pPr>
        <w:ind w:left="520" w:right="60" w:hanging="512"/>
        <w:spacing w:after="0" w:line="281" w:lineRule="auto"/>
        <w:tabs>
          <w:tab w:leader="none" w:pos="353"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furnished in Exhibit 32 hereto are deemed to be furnished with this Annual Report on Form 10-K and will not be deemed to be “filed” for purposes of Section 18 of the Securities Exchange Act of 1934, as amended, except to the extent that the registrant specifically incorporates it by reference.</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0" w:right="37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25" w:lineRule="exact"/>
        <w:rPr>
          <w:sz w:val="20"/>
          <w:szCs w:val="20"/>
          <w:color w:val="auto"/>
        </w:rPr>
      </w:pPr>
    </w:p>
    <w:p>
      <w:pPr>
        <w:ind w:left="20"/>
        <w:spacing w:after="0"/>
        <w:tabs>
          <w:tab w:leader="none" w:pos="5420" w:val="left"/>
          <w:tab w:leader="none" w:pos="796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Barbara Weber, MD</w:t>
      </w:r>
    </w:p>
    <w:p>
      <w:pPr>
        <w:spacing w:after="0" w:line="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Barbara Weber, Daniella Beckman and Douglas Barry,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8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2" w:lineRule="exact"/>
        <w:rPr>
          <w:sz w:val="20"/>
          <w:szCs w:val="20"/>
          <w:color w:val="auto"/>
        </w:rPr>
      </w:pPr>
    </w:p>
    <w:p>
      <w:pPr>
        <w:ind w:left="1680"/>
        <w:spacing w:after="0"/>
        <w:tabs>
          <w:tab w:leader="none" w:pos="6100" w:val="left"/>
          <w:tab w:leader="none" w:pos="98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Barbara Weber</w:t>
            </w:r>
          </w:p>
        </w:tc>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c>
          <w:tcPr>
            <w:tcW w:w="3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Barbara Weber, MD</w:t>
            </w:r>
          </w:p>
        </w:tc>
        <w:tc>
          <w:tcPr>
            <w:tcW w:w="4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318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Daniella Beckman</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Daniella Beckman</w:t>
            </w:r>
          </w:p>
        </w:tc>
        <w:tc>
          <w:tcPr>
            <w:tcW w:w="4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318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Alexis Borisy</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Alexis Borisy</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Lesley Ann Calhoun</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Lesley Ann Calhoun</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/s/ Kanishka Pothula</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Kanishka Pothula</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Ketchum</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 Ketchum</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Malte Peters</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Malte Peters, MD</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Mace Rothenberg</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Mace Rothenberg, MD</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795"/>
        </w:trPr>
        <w:tc>
          <w:tcPr>
            <w:tcW w:w="3720" w:type="dxa"/>
            <w:vAlign w:val="bottom"/>
          </w:tcPr>
          <w:p>
            <w:pPr>
              <w:spacing w:after="0"/>
              <w:rPr>
                <w:sz w:val="24"/>
                <w:szCs w:val="24"/>
                <w:color w:val="auto"/>
              </w:rPr>
            </w:pPr>
          </w:p>
        </w:tc>
        <w:tc>
          <w:tcPr>
            <w:tcW w:w="43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98</w:t>
            </w:r>
          </w:p>
        </w:tc>
        <w:tc>
          <w:tcPr>
            <w:tcW w:w="3180" w:type="dxa"/>
            <w:vAlign w:val="bottom"/>
          </w:tcPr>
          <w:p>
            <w:pPr>
              <w:spacing w:after="0"/>
              <w:rPr>
                <w:sz w:val="24"/>
                <w:szCs w:val="24"/>
                <w:color w:val="auto"/>
              </w:rPr>
            </w:pPr>
          </w:p>
        </w:tc>
      </w:tr>
      <w:tr>
        <w:trPr>
          <w:trHeight w:val="763"/>
        </w:trPr>
        <w:tc>
          <w:tcPr>
            <w:tcW w:w="372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2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20" w:type="dxa"/>
            <w:vAlign w:val="bottom"/>
          </w:tcPr>
          <w:p>
            <w:pPr>
              <w:spacing w:after="0"/>
              <w:rPr>
                <w:sz w:val="15"/>
                <w:szCs w:val="15"/>
                <w:color w:val="auto"/>
              </w:rPr>
            </w:pPr>
          </w:p>
        </w:tc>
      </w:tr>
      <w:tr>
        <w:trPr>
          <w:trHeight w:val="344"/>
        </w:trPr>
        <w:tc>
          <w:tcPr>
            <w:tcW w:w="556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4920" w:type="dxa"/>
            <w:vAlign w:val="bottom"/>
          </w:tcPr>
          <w:p>
            <w:pPr>
              <w:spacing w:after="0"/>
              <w:rPr>
                <w:sz w:val="24"/>
                <w:szCs w:val="2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5"/>
              </w:rPr>
              <w:t>F-2</w:t>
            </w:r>
          </w:p>
        </w:tc>
      </w:tr>
      <w:tr>
        <w:trPr>
          <w:trHeight w:val="209"/>
        </w:trPr>
        <w:tc>
          <w:tcPr>
            <w:tcW w:w="104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210"/>
        </w:trPr>
        <w:tc>
          <w:tcPr>
            <w:tcW w:w="470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5780" w:type="dxa"/>
            <w:vAlign w:val="bottom"/>
            <w:gridSpan w:val="2"/>
          </w:tcPr>
          <w:p>
            <w:pPr>
              <w:spacing w:after="0"/>
              <w:rPr>
                <w:sz w:val="18"/>
                <w:szCs w:val="18"/>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5"/>
              </w:rPr>
              <w:t>F-5</w:t>
            </w:r>
          </w:p>
        </w:tc>
      </w:tr>
      <w:tr>
        <w:trPr>
          <w:trHeight w:val="209"/>
        </w:trPr>
        <w:tc>
          <w:tcPr>
            <w:tcW w:w="104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5"/>
              </w:rPr>
              <w:t>F-6</w:t>
            </w:r>
          </w:p>
        </w:tc>
      </w:tr>
      <w:tr>
        <w:trPr>
          <w:trHeight w:val="209"/>
        </w:trPr>
        <w:tc>
          <w:tcPr>
            <w:tcW w:w="290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60" w:type="dxa"/>
            <w:vAlign w:val="bottom"/>
            <w:tcBorders>
              <w:top w:val="single" w:sz="8" w:color="0000FF"/>
            </w:tcBorders>
            <w:gridSpan w:val="2"/>
          </w:tcPr>
          <w:p>
            <w:pPr>
              <w:spacing w:after="0"/>
              <w:rPr>
                <w:sz w:val="18"/>
                <w:szCs w:val="18"/>
                <w:color w:val="auto"/>
              </w:rPr>
            </w:pPr>
          </w:p>
        </w:tc>
        <w:tc>
          <w:tcPr>
            <w:tcW w:w="6920" w:type="dxa"/>
            <w:vAlign w:val="bottom"/>
            <w:gridSpan w:val="3"/>
          </w:tcPr>
          <w:p>
            <w:pPr>
              <w:spacing w:after="0"/>
              <w:rPr>
                <w:sz w:val="18"/>
                <w:szCs w:val="18"/>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5"/>
              </w:rPr>
              <w:t>F-7</w:t>
            </w:r>
          </w:p>
        </w:tc>
      </w:tr>
      <w:tr>
        <w:trPr>
          <w:trHeight w:val="210"/>
        </w:trPr>
        <w:tc>
          <w:tcPr>
            <w:tcW w:w="104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5"/>
              </w:rPr>
              <w:t>F-8</w:t>
            </w:r>
          </w:p>
        </w:tc>
      </w:tr>
      <w:tr>
        <w:trPr>
          <w:trHeight w:val="1337"/>
        </w:trPr>
        <w:tc>
          <w:tcPr>
            <w:tcW w:w="2120" w:type="dxa"/>
            <w:vAlign w:val="bottom"/>
            <w:tcBorders>
              <w:top w:val="single" w:sz="8" w:color="0000FF"/>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2" w:name="page103"/>
    <w:bookmarkEnd w:id="10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Tango Therapeutics,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Tango Therapeutics, Inc. and its subsidiaries (the "Company") as of December 31, 2024 and 2023, and the related consolidated statements of operations and comprehensive loss, of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14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Emphasis of Matter</w:t>
      </w:r>
    </w:p>
    <w:p>
      <w:pPr>
        <w:spacing w:after="0" w:line="14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since inception, the Company has incurred significant operating losses and expects to continue generating operating losses and negative cash flows from operations for the foreseeable future. Management’s evaluation of the events and conditions and management’s plans to mitigate these matters are also described in Note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3" w:name="page104"/>
    <w:bookmarkEnd w:id="103"/>
    <w:p>
      <w:pPr>
        <w:ind w:right="220"/>
        <w:spacing w:after="0" w:line="261" w:lineRule="auto"/>
        <w:rPr>
          <w:sz w:val="20"/>
          <w:szCs w:val="20"/>
          <w:color w:val="auto"/>
        </w:rPr>
      </w:pPr>
      <w:r>
        <w:rPr>
          <w:rFonts w:ascii="Times New Roman" w:cs="Times New Roman" w:eastAsia="Times New Roman" w:hAnsi="Times New Roman"/>
          <w:sz w:val="18"/>
          <w:szCs w:val="18"/>
          <w:color w:val="auto"/>
        </w:rPr>
        <w:t>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Research and Development Expenses</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research and development expenses consist primarily of costs incurred for the Company’s drug discovery efforts and the development of product candidates. These expenses include salaries, employee benefits, and stock-based compensation expense for the Company’s research and development personnel, materials, supplies, depreciation on and maintenance of research equipment, the cost of services provided by outside contract research organizations (CROs) and consultants to conduct research and development activities including costs of clinical trials and manufacturing, and the allocable portions of facility costs, such as rent, utilities, and general support services. All costs associated with research and development are expensed as incurred. Management estimates the Company’s accrued research and development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The Company’s research and development expenses for the year ended December 31, 2024 were $143.9 million, a majority of which relates to certain research and development expenses.</w:t>
      </w:r>
    </w:p>
    <w:p>
      <w:pPr>
        <w:spacing w:after="0" w:line="19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certain research and development expenses is a critical audit matter is a high degree of auditor effort in performing procedures related to certain research and development expenses.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research and development expenses, including controls over certain research and development expenses. These procedures also included, among others, testing certain research and development expenses on a sample basis by agreeing relevant information, which include overall contract value, expenses incurred to date, and percentage of completion, to the (i) underlying contracts with CROs and consultants engaged to conduct research and development activities; (ii) purchase orders; (iii) invoices received; (iv) underlying payments made for expenses incurred on the contracts; and (v) external confirmations or communications obtained by management from CROs and consultants.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3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9" w:right="399" w:bottom="1440" w:gutter="0" w:footer="0" w:header="0"/>
        </w:sectPr>
      </w:pPr>
    </w:p>
    <w:bookmarkStart w:id="104" w:name="page105"/>
    <w:bookmarkEnd w:id="10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40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69,530</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66,385</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188,387</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270,500</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10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8,797</w:t>
            </w:r>
          </w:p>
        </w:tc>
        <w:tc>
          <w:tcPr>
            <w:tcW w:w="100" w:type="dxa"/>
            <w:vAlign w:val="bottom"/>
          </w:tcPr>
          <w:p>
            <w:pPr>
              <w:spacing w:after="0"/>
              <w:rPr>
                <w:sz w:val="18"/>
                <w:szCs w:val="18"/>
                <w:color w:val="auto"/>
              </w:rPr>
            </w:pPr>
          </w:p>
        </w:tc>
      </w:tr>
      <w:tr>
        <w:trPr>
          <w:trHeight w:val="209"/>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266,343</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346,538</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39,476</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43,508</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net of current portion</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Pr>
          <w:p>
            <w:pPr>
              <w:spacing w:after="0"/>
              <w:rPr>
                <w:sz w:val="18"/>
                <w:szCs w:val="18"/>
                <w:color w:val="auto"/>
              </w:rPr>
            </w:pPr>
          </w:p>
        </w:tc>
      </w:tr>
      <w:tr>
        <w:trPr>
          <w:trHeight w:val="216"/>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316,492</w:t>
            </w:r>
          </w:p>
        </w:tc>
        <w:tc>
          <w:tcPr>
            <w:tcW w:w="30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402,567</w:t>
            </w:r>
          </w:p>
        </w:tc>
        <w:tc>
          <w:tcPr>
            <w:tcW w:w="100" w:type="dxa"/>
            <w:vAlign w:val="bottom"/>
          </w:tcPr>
          <w:p>
            <w:pPr>
              <w:spacing w:after="0"/>
              <w:rPr>
                <w:sz w:val="18"/>
                <w:szCs w:val="18"/>
                <w:color w:val="auto"/>
              </w:rPr>
            </w:pPr>
          </w:p>
        </w:tc>
      </w:tr>
      <w:tr>
        <w:trPr>
          <w:trHeight w:val="210"/>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04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16,497</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15,401</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17,618</w:t>
            </w:r>
          </w:p>
        </w:tc>
        <w:tc>
          <w:tcPr>
            <w:tcW w:w="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25,670</w:t>
            </w:r>
          </w:p>
        </w:tc>
        <w:tc>
          <w:tcPr>
            <w:tcW w:w="100" w:type="dxa"/>
            <w:vAlign w:val="bottom"/>
          </w:tcPr>
          <w:p>
            <w:pPr>
              <w:spacing w:after="0"/>
              <w:rPr>
                <w:sz w:val="18"/>
                <w:szCs w:val="18"/>
                <w:color w:val="auto"/>
              </w:rPr>
            </w:pPr>
          </w:p>
        </w:tc>
      </w:tr>
      <w:tr>
        <w:trPr>
          <w:trHeight w:val="209"/>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38,170</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45,938</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34,039</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36,838</w:t>
            </w:r>
          </w:p>
        </w:tc>
        <w:tc>
          <w:tcPr>
            <w:tcW w:w="100" w:type="dxa"/>
            <w:vAlign w:val="bottom"/>
          </w:tcPr>
          <w:p>
            <w:pPr>
              <w:spacing w:after="0"/>
              <w:rPr>
                <w:sz w:val="18"/>
                <w:szCs w:val="18"/>
                <w:color w:val="auto"/>
              </w:rPr>
            </w:pPr>
          </w:p>
        </w:tc>
      </w:tr>
      <w:tr>
        <w:trPr>
          <w:trHeight w:val="216"/>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0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44,766</w:t>
            </w:r>
          </w:p>
        </w:tc>
        <w:tc>
          <w:tcPr>
            <w:tcW w:w="3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116,975</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149,459</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4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 shares</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 as of December 31, 2024 and 2023, respectively</w:t>
            </w:r>
          </w:p>
        </w:tc>
        <w:tc>
          <w:tcPr>
            <w:tcW w:w="104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4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200,000,000 shares</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authorized at December 31, 2024 and December 31, 2023, respectively;</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107,729,343 and 102,202,759 shares issued and outstanding as of</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2024 and 2023, respectively</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700,631</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624,076</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0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8"/>
              </w:rPr>
              <w:t>(501,558 )</w:t>
            </w:r>
          </w:p>
        </w:tc>
        <w:tc>
          <w:tcPr>
            <w:tcW w:w="4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(371,256 )</w:t>
            </w:r>
          </w:p>
        </w:tc>
      </w:tr>
      <w:tr>
        <w:trPr>
          <w:trHeight w:val="210"/>
        </w:trPr>
        <w:tc>
          <w:tcPr>
            <w:tcW w:w="74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199,517</w:t>
            </w:r>
          </w:p>
        </w:tc>
        <w:tc>
          <w:tcPr>
            <w:tcW w:w="30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253,108</w:t>
            </w:r>
          </w:p>
        </w:tc>
        <w:tc>
          <w:tcPr>
            <w:tcW w:w="100" w:type="dxa"/>
            <w:vAlign w:val="bottom"/>
            <w:tcBorders>
              <w:top w:val="single" w:sz="8" w:color="CFF0FC"/>
            </w:tcBorders>
          </w:tcPr>
          <w:p>
            <w:pPr>
              <w:spacing w:after="0"/>
              <w:rPr>
                <w:sz w:val="18"/>
                <w:szCs w:val="18"/>
                <w:color w:val="auto"/>
              </w:rPr>
            </w:pPr>
          </w:p>
        </w:tc>
      </w:tr>
      <w:tr>
        <w:trPr>
          <w:trHeight w:val="250"/>
        </w:trPr>
        <w:tc>
          <w:tcPr>
            <w:tcW w:w="74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40" w:type="dxa"/>
            <w:vAlign w:val="bottom"/>
            <w:tcBorders>
              <w:bottom w:val="single" w:sz="8" w:color="auto"/>
            </w:tcBorders>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316,492</w:t>
            </w:r>
          </w:p>
        </w:tc>
        <w:tc>
          <w:tcPr>
            <w:tcW w:w="3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402,567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-3368040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-1971040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-316865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5" w:name="page106"/>
    <w:bookmarkEnd w:id="10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3"/>
                <w:szCs w:val="13"/>
                <w:color w:val="auto"/>
              </w:rPr>
            </w:pPr>
          </w:p>
        </w:tc>
        <w:tc>
          <w:tcPr>
            <w:tcW w:w="1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3"/>
                <w:szCs w:val="13"/>
                <w:color w:val="auto"/>
              </w:rPr>
            </w:pPr>
          </w:p>
        </w:tc>
        <w:tc>
          <w:tcPr>
            <w:tcW w:w="110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29,969</w:t>
            </w:r>
          </w:p>
        </w:tc>
        <w:tc>
          <w:tcPr>
            <w:tcW w:w="1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31,527</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3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42,069</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36,527</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143,918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115,198</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35,502</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187,664</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150,700</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(145,595 )</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(114,173 )</w:t>
            </w:r>
          </w:p>
        </w:tc>
        <w:tc>
          <w:tcPr>
            <w:tcW w:w="3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(111,071 )</w:t>
            </w: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12,563</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(130,094 )</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(101,610 )</w:t>
            </w:r>
          </w:p>
        </w:tc>
        <w:tc>
          <w:tcPr>
            <w:tcW w:w="3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(108,122 )</w:t>
            </w:r>
          </w:p>
        </w:tc>
        <w:tc>
          <w:tcPr>
            <w:tcW w:w="0" w:type="dxa"/>
            <w:vAlign w:val="bottom"/>
          </w:tcPr>
          <w:p>
            <w:pPr>
              <w:spacing w:after="0"/>
              <w:rPr>
                <w:sz w:val="1"/>
                <w:szCs w:val="1"/>
                <w:color w:val="auto"/>
              </w:rPr>
            </w:pPr>
          </w:p>
        </w:tc>
      </w:tr>
      <w:tr>
        <w:trPr>
          <w:trHeight w:val="216"/>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(208 )</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(134 )</w:t>
            </w:r>
          </w:p>
        </w:tc>
        <w:tc>
          <w:tcPr>
            <w:tcW w:w="3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(130,302 )</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(101,744 )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(108,176 )</w:t>
            </w:r>
          </w:p>
        </w:tc>
        <w:tc>
          <w:tcPr>
            <w:tcW w:w="0" w:type="dxa"/>
            <w:vAlign w:val="bottom"/>
          </w:tcPr>
          <w:p>
            <w:pPr>
              <w:spacing w:after="0"/>
              <w:rPr>
                <w:sz w:val="1"/>
                <w:szCs w:val="1"/>
                <w:color w:val="auto"/>
              </w:rPr>
            </w:pPr>
          </w:p>
        </w:tc>
      </w:tr>
      <w:tr>
        <w:trPr>
          <w:trHeight w:val="210"/>
        </w:trPr>
        <w:tc>
          <w:tcPr>
            <w:tcW w:w="630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(1.19 )</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(1.08 )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16"/>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 diluted</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109,226,731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94,572,448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87,820,037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(130,302 )</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(101,744 )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(108,176 )</w:t>
            </w: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(2,940 )</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(130,152 )</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(97,853 )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(111,116 )</w:t>
            </w:r>
          </w:p>
        </w:tc>
        <w:tc>
          <w:tcPr>
            <w:tcW w:w="0" w:type="dxa"/>
            <w:vAlign w:val="bottom"/>
          </w:tcPr>
          <w:p>
            <w:pPr>
              <w:spacing w:after="0"/>
              <w:rPr>
                <w:sz w:val="1"/>
                <w:szCs w:val="1"/>
                <w:color w:val="auto"/>
              </w:rPr>
            </w:pPr>
          </w:p>
        </w:tc>
      </w:tr>
      <w:tr>
        <w:trPr>
          <w:trHeight w:val="20"/>
        </w:trPr>
        <w:tc>
          <w:tcPr>
            <w:tcW w:w="6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-2836545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-2836545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-2270760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-2270760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-1713865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-1713865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-1139190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-1139190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6" w:name="page107"/>
    <w:bookmarkEnd w:id="10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ectPr>
          <w:pgSz w:w="11900" w:h="16838" w:orient="portrait"/>
          <w:cols w:equalWidth="0" w:num="1">
            <w:col w:w="11160"/>
          </w:cols>
          <w:pgMar w:left="340" w:top="1089" w:right="399" w:bottom="1440" w:gutter="0" w:footer="0" w:header="0"/>
        </w:sect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940" w:type="dxa"/>
            <w:vAlign w:val="bottom"/>
          </w:tcPr>
          <w:p>
            <w:pPr>
              <w:spacing w:after="0"/>
              <w:rPr>
                <w:sz w:val="12"/>
                <w:szCs w:val="12"/>
                <w:color w:val="auto"/>
              </w:rPr>
            </w:pPr>
          </w:p>
        </w:tc>
        <w:tc>
          <w:tcPr>
            <w:tcW w:w="2640" w:type="dxa"/>
            <w:vAlign w:val="bottom"/>
            <w:tcBorders>
              <w:bottom w:val="single" w:sz="8" w:color="auto"/>
            </w:tcBorders>
            <w:gridSpan w:val="4"/>
          </w:tcPr>
          <w:p>
            <w:pPr>
              <w:jc w:val="right"/>
              <w:ind w:right="537"/>
              <w:spacing w:after="0"/>
              <w:rPr>
                <w:sz w:val="20"/>
                <w:szCs w:val="20"/>
                <w:color w:val="auto"/>
              </w:rPr>
            </w:pPr>
            <w:r>
              <w:rPr>
                <w:rFonts w:ascii="Times New Roman" w:cs="Times New Roman" w:eastAsia="Times New Roman" w:hAnsi="Times New Roman"/>
                <w:sz w:val="12"/>
                <w:szCs w:val="12"/>
                <w:b w:val="1"/>
                <w:bCs w:val="1"/>
                <w:color w:val="auto"/>
              </w:rPr>
              <w:t>Common Stock Outstanding</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29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12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2940" w:type="dxa"/>
            <w:vAlign w:val="bottom"/>
            <w:vMerge w:val="continue"/>
          </w:tcPr>
          <w:p>
            <w:pPr>
              <w:spacing w:after="0"/>
              <w:rPr>
                <w:sz w:val="10"/>
                <w:szCs w:val="10"/>
                <w:color w:val="auto"/>
              </w:rPr>
            </w:pPr>
          </w:p>
        </w:tc>
        <w:tc>
          <w:tcPr>
            <w:tcW w:w="12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87,598,184</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88</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from exercise of options</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and employee stock purchase plan</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581,190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Business combination and PIPE financing, issuance</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costs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4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Other comprehensive loss</w:t>
            </w:r>
          </w:p>
        </w:tc>
        <w:tc>
          <w:tcPr>
            <w:tcW w:w="12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9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1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88,179,374</w:t>
            </w:r>
          </w:p>
        </w:tc>
        <w:tc>
          <w:tcPr>
            <w:tcW w:w="240" w:type="dxa"/>
            <w:vAlign w:val="bottom"/>
          </w:tcPr>
          <w:p>
            <w:pPr>
              <w:spacing w:after="0"/>
              <w:rPr>
                <w:sz w:val="11"/>
                <w:szCs w:val="11"/>
                <w:color w:val="auto"/>
              </w:rPr>
            </w:pPr>
          </w:p>
        </w:tc>
        <w:tc>
          <w:tcPr>
            <w:tcW w:w="24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88</w:t>
            </w:r>
          </w:p>
        </w:tc>
        <w:tc>
          <w:tcPr>
            <w:tcW w:w="3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Issuance of common stock from exercise of options</w:t>
            </w: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94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and employee stock purchase plan</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826,714</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Common shares issued in offering, net of issuance</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costs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13,196,671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Pre-funded warrants issued</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Return of capital from a stockholder - related party</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4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Other comprehensive income</w:t>
            </w:r>
          </w:p>
        </w:tc>
        <w:tc>
          <w:tcPr>
            <w:tcW w:w="12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9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102,202,759</w:t>
            </w:r>
          </w:p>
        </w:tc>
        <w:tc>
          <w:tcPr>
            <w:tcW w:w="240" w:type="dxa"/>
            <w:vAlign w:val="bottom"/>
          </w:tcPr>
          <w:p>
            <w:pPr>
              <w:spacing w:after="0"/>
              <w:rPr>
                <w:sz w:val="11"/>
                <w:szCs w:val="11"/>
                <w:color w:val="auto"/>
              </w:rPr>
            </w:pPr>
          </w:p>
        </w:tc>
        <w:tc>
          <w:tcPr>
            <w:tcW w:w="24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102</w:t>
            </w:r>
          </w:p>
        </w:tc>
        <w:tc>
          <w:tcPr>
            <w:tcW w:w="3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Issuance of common stock from exercise of options</w:t>
            </w: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94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and employee stock purchase plan</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1,525,384</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Common shares issued in offering, net of issuance</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costs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4,001,200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4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Other comprehensive income</w:t>
            </w:r>
          </w:p>
        </w:tc>
        <w:tc>
          <w:tcPr>
            <w:tcW w:w="12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9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107,729,343</w:t>
            </w:r>
          </w:p>
        </w:tc>
        <w:tc>
          <w:tcPr>
            <w:tcW w:w="240" w:type="dxa"/>
            <w:vAlign w:val="bottom"/>
          </w:tcPr>
          <w:p>
            <w:pPr>
              <w:spacing w:after="0"/>
              <w:rPr>
                <w:sz w:val="11"/>
                <w:szCs w:val="11"/>
                <w:color w:val="auto"/>
              </w:rPr>
            </w:pPr>
          </w:p>
        </w:tc>
        <w:tc>
          <w:tcPr>
            <w:tcW w:w="24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108</w:t>
            </w:r>
          </w:p>
        </w:tc>
        <w:tc>
          <w:tcPr>
            <w:tcW w:w="3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-2588260</wp:posOffset>
            </wp:positionV>
            <wp:extent cx="7132320" cy="857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-2313940</wp:posOffset>
            </wp:positionV>
            <wp:extent cx="7132320" cy="946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-2030730</wp:posOffset>
            </wp:positionV>
            <wp:extent cx="7132320" cy="939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-1542415</wp:posOffset>
            </wp:positionV>
            <wp:extent cx="7132320" cy="939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-1259205</wp:posOffset>
            </wp:positionV>
            <wp:extent cx="7132320" cy="939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-1071245</wp:posOffset>
            </wp:positionV>
            <wp:extent cx="7132320" cy="939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-582295</wp:posOffset>
            </wp:positionV>
            <wp:extent cx="7132320" cy="946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-299720</wp:posOffset>
            </wp:positionV>
            <wp:extent cx="7132320" cy="939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-1842770</wp:posOffset>
            </wp:positionV>
            <wp:extent cx="7132320" cy="1117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-882015</wp:posOffset>
            </wp:positionV>
            <wp:extent cx="7132320" cy="1111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-110490</wp:posOffset>
            </wp:positionV>
            <wp:extent cx="7132320" cy="1111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77"/>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77"/>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1140" w:type="dxa"/>
            <w:vAlign w:val="bottom"/>
          </w:tcPr>
          <w:p>
            <w:pPr>
              <w:jc w:val="right"/>
              <w:ind w:right="538"/>
              <w:spacing w:after="0" w:line="135"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120" w:type="dxa"/>
            <w:vAlign w:val="bottom"/>
          </w:tcPr>
          <w:p>
            <w:pPr>
              <w:spacing w:after="0"/>
              <w:rPr>
                <w:sz w:val="11"/>
                <w:szCs w:val="11"/>
                <w:color w:val="auto"/>
              </w:rPr>
            </w:pPr>
          </w:p>
        </w:tc>
        <w:tc>
          <w:tcPr>
            <w:tcW w:w="1240" w:type="dxa"/>
            <w:vAlign w:val="bottom"/>
            <w:gridSpan w:val="2"/>
          </w:tcPr>
          <w:p>
            <w:pPr>
              <w:jc w:val="center"/>
              <w:ind w:right="277"/>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35"/>
        </w:trPr>
        <w:tc>
          <w:tcPr>
            <w:tcW w:w="1140" w:type="dxa"/>
            <w:vAlign w:val="bottom"/>
          </w:tcPr>
          <w:p>
            <w:pPr>
              <w:jc w:val="right"/>
              <w:ind w:right="618"/>
              <w:spacing w:after="0" w:line="135"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1"/>
                <w:szCs w:val="11"/>
                <w:color w:val="auto"/>
              </w:rPr>
            </w:pPr>
          </w:p>
        </w:tc>
        <w:tc>
          <w:tcPr>
            <w:tcW w:w="1240" w:type="dxa"/>
            <w:vAlign w:val="bottom"/>
            <w:gridSpan w:val="2"/>
          </w:tcPr>
          <w:p>
            <w:pPr>
              <w:jc w:val="center"/>
              <w:ind w:right="277"/>
              <w:spacing w:after="0" w:line="135" w:lineRule="exact"/>
              <w:rPr>
                <w:sz w:val="20"/>
                <w:szCs w:val="20"/>
                <w:color w:val="auto"/>
              </w:rPr>
            </w:pPr>
            <w:r>
              <w:rPr>
                <w:rFonts w:ascii="Times New Roman" w:cs="Times New Roman" w:eastAsia="Times New Roman" w:hAnsi="Times New Roman"/>
                <w:sz w:val="12"/>
                <w:szCs w:val="12"/>
                <w:b w:val="1"/>
                <w:bCs w:val="1"/>
                <w:color w:val="auto"/>
                <w:w w:val="99"/>
              </w:rPr>
              <w:t>Income</w:t>
            </w:r>
          </w:p>
        </w:tc>
        <w:tc>
          <w:tcPr>
            <w:tcW w:w="160" w:type="dxa"/>
            <w:vAlign w:val="bottom"/>
          </w:tcPr>
          <w:p>
            <w:pPr>
              <w:spacing w:after="0"/>
              <w:rPr>
                <w:sz w:val="11"/>
                <w:szCs w:val="11"/>
                <w:color w:val="auto"/>
              </w:rPr>
            </w:pPr>
          </w:p>
        </w:tc>
        <w:tc>
          <w:tcPr>
            <w:tcW w:w="1200" w:type="dxa"/>
            <w:vAlign w:val="bottom"/>
            <w:gridSpan w:val="2"/>
          </w:tcPr>
          <w:p>
            <w:pPr>
              <w:jc w:val="right"/>
              <w:ind w:right="397"/>
              <w:spacing w:after="0" w:line="13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1"/>
                <w:szCs w:val="11"/>
                <w:color w:val="auto"/>
              </w:rPr>
            </w:pPr>
          </w:p>
        </w:tc>
        <w:tc>
          <w:tcPr>
            <w:tcW w:w="9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2"/>
                <w:szCs w:val="12"/>
                <w:b w:val="1"/>
                <w:bCs w:val="1"/>
                <w:color w:val="auto"/>
                <w:w w:val="96"/>
              </w:rPr>
              <w:t>Stockholders’</w:t>
            </w:r>
          </w:p>
        </w:tc>
      </w:tr>
      <w:tr>
        <w:trPr>
          <w:trHeight w:val="145"/>
        </w:trPr>
        <w:tc>
          <w:tcPr>
            <w:tcW w:w="1140" w:type="dxa"/>
            <w:vAlign w:val="bottom"/>
          </w:tcPr>
          <w:p>
            <w:pPr>
              <w:jc w:val="right"/>
              <w:ind w:right="618"/>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2"/>
                <w:szCs w:val="12"/>
                <w:color w:val="auto"/>
              </w:rPr>
            </w:pPr>
          </w:p>
        </w:tc>
        <w:tc>
          <w:tcPr>
            <w:tcW w:w="1240" w:type="dxa"/>
            <w:vAlign w:val="bottom"/>
            <w:gridSpan w:val="2"/>
          </w:tcPr>
          <w:p>
            <w:pPr>
              <w:jc w:val="center"/>
              <w:ind w:right="277"/>
              <w:spacing w:after="0"/>
              <w:rPr>
                <w:sz w:val="20"/>
                <w:szCs w:val="20"/>
                <w:color w:val="auto"/>
              </w:rPr>
            </w:pPr>
            <w:r>
              <w:rPr>
                <w:rFonts w:ascii="Times New Roman" w:cs="Times New Roman" w:eastAsia="Times New Roman" w:hAnsi="Times New Roman"/>
                <w:sz w:val="12"/>
                <w:szCs w:val="12"/>
                <w:b w:val="1"/>
                <w:bCs w:val="1"/>
                <w:color w:val="auto"/>
                <w:w w:val="95"/>
              </w:rPr>
              <w:t>(Loss)</w:t>
            </w:r>
          </w:p>
        </w:tc>
        <w:tc>
          <w:tcPr>
            <w:tcW w:w="160" w:type="dxa"/>
            <w:vAlign w:val="bottom"/>
          </w:tcPr>
          <w:p>
            <w:pPr>
              <w:spacing w:after="0"/>
              <w:rPr>
                <w:sz w:val="12"/>
                <w:szCs w:val="12"/>
                <w:color w:val="auto"/>
              </w:rPr>
            </w:pPr>
          </w:p>
        </w:tc>
        <w:tc>
          <w:tcPr>
            <w:tcW w:w="1200" w:type="dxa"/>
            <w:vAlign w:val="bottom"/>
            <w:gridSpan w:val="2"/>
          </w:tcPr>
          <w:p>
            <w:pPr>
              <w:jc w:val="right"/>
              <w:ind w:right="557"/>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4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2"/>
              </w:rPr>
              <w:t>Equity</w:t>
            </w:r>
          </w:p>
        </w:tc>
      </w:tr>
      <w:tr>
        <w:trPr>
          <w:trHeight w:val="160"/>
        </w:trPr>
        <w:tc>
          <w:tcPr>
            <w:tcW w:w="1140" w:type="dxa"/>
            <w:vAlign w:val="bottom"/>
          </w:tcPr>
          <w:p>
            <w:pPr>
              <w:jc w:val="right"/>
              <w:ind w:right="178"/>
              <w:spacing w:after="0" w:line="146" w:lineRule="exact"/>
              <w:rPr>
                <w:sz w:val="20"/>
                <w:szCs w:val="20"/>
                <w:color w:val="auto"/>
              </w:rPr>
            </w:pPr>
            <w:r>
              <w:rPr>
                <w:rFonts w:ascii="Times New Roman" w:cs="Times New Roman" w:eastAsia="Times New Roman" w:hAnsi="Times New Roman"/>
                <w:sz w:val="13"/>
                <w:szCs w:val="13"/>
                <w:b w:val="1"/>
                <w:bCs w:val="1"/>
                <w:color w:val="auto"/>
              </w:rPr>
              <w:t>506,760</w:t>
            </w: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(765</w:t>
            </w:r>
          </w:p>
        </w:tc>
        <w:tc>
          <w:tcPr>
            <w:tcW w:w="220" w:type="dxa"/>
            <w:vAlign w:val="bottom"/>
          </w:tcPr>
          <w:p>
            <w:pPr>
              <w:jc w:val="right"/>
              <w:ind w:right="97"/>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(161,336</w:t>
            </w:r>
          </w:p>
        </w:tc>
        <w:tc>
          <w:tcPr>
            <w:tcW w:w="220" w:type="dxa"/>
            <w:vAlign w:val="bottom"/>
          </w:tcPr>
          <w:p>
            <w:pPr>
              <w:jc w:val="right"/>
              <w:ind w:right="97"/>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344,747</w:t>
            </w:r>
          </w:p>
        </w:tc>
        <w:tc>
          <w:tcPr>
            <w:tcW w:w="40" w:type="dxa"/>
            <w:vAlign w:val="bottom"/>
          </w:tcPr>
          <w:p>
            <w:pPr>
              <w:spacing w:after="0"/>
              <w:rPr>
                <w:sz w:val="13"/>
                <w:szCs w:val="13"/>
                <w:color w:val="auto"/>
              </w:rPr>
            </w:pPr>
          </w:p>
        </w:tc>
      </w:tr>
      <w:tr>
        <w:trPr>
          <w:trHeight w:val="261"/>
        </w:trPr>
        <w:tc>
          <w:tcPr>
            <w:tcW w:w="114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1,623</w:t>
            </w:r>
          </w:p>
        </w:tc>
        <w:tc>
          <w:tcPr>
            <w:tcW w:w="120" w:type="dxa"/>
            <w:vAlign w:val="bottom"/>
          </w:tcPr>
          <w:p>
            <w:pPr>
              <w:spacing w:after="0"/>
              <w:rPr>
                <w:sz w:val="22"/>
                <w:szCs w:val="22"/>
                <w:color w:val="auto"/>
              </w:rPr>
            </w:pPr>
          </w:p>
        </w:tc>
        <w:tc>
          <w:tcPr>
            <w:tcW w:w="12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40" w:type="dxa"/>
            <w:vAlign w:val="bottom"/>
          </w:tcPr>
          <w:p>
            <w:pPr>
              <w:spacing w:after="0"/>
              <w:rPr>
                <w:sz w:val="22"/>
                <w:szCs w:val="22"/>
                <w:color w:val="auto"/>
              </w:rPr>
            </w:pPr>
          </w:p>
        </w:tc>
      </w:tr>
      <w:tr>
        <w:trPr>
          <w:trHeight w:val="164"/>
        </w:trPr>
        <w:tc>
          <w:tcPr>
            <w:tcW w:w="114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14,230</w:t>
            </w:r>
          </w:p>
        </w:tc>
        <w:tc>
          <w:tcPr>
            <w:tcW w:w="120" w:type="dxa"/>
            <w:vAlign w:val="bottom"/>
          </w:tcPr>
          <w:p>
            <w:pPr>
              <w:spacing w:after="0"/>
              <w:rPr>
                <w:sz w:val="14"/>
                <w:szCs w:val="14"/>
                <w:color w:val="auto"/>
              </w:rPr>
            </w:pPr>
          </w:p>
        </w:tc>
        <w:tc>
          <w:tcPr>
            <w:tcW w:w="12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14,230</w:t>
            </w:r>
          </w:p>
        </w:tc>
        <w:tc>
          <w:tcPr>
            <w:tcW w:w="40" w:type="dxa"/>
            <w:vAlign w:val="bottom"/>
          </w:tcPr>
          <w:p>
            <w:pPr>
              <w:spacing w:after="0"/>
              <w:rPr>
                <w:sz w:val="14"/>
                <w:szCs w:val="14"/>
                <w:color w:val="auto"/>
              </w:rPr>
            </w:pPr>
          </w:p>
        </w:tc>
      </w:tr>
      <w:tr>
        <w:trPr>
          <w:trHeight w:val="281"/>
        </w:trPr>
        <w:tc>
          <w:tcPr>
            <w:tcW w:w="114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(8 )</w:t>
            </w:r>
          </w:p>
        </w:tc>
        <w:tc>
          <w:tcPr>
            <w:tcW w:w="120" w:type="dxa"/>
            <w:vAlign w:val="bottom"/>
          </w:tcPr>
          <w:p>
            <w:pPr>
              <w:spacing w:after="0"/>
              <w:rPr>
                <w:sz w:val="24"/>
                <w:szCs w:val="24"/>
                <w:color w:val="auto"/>
              </w:rPr>
            </w:pPr>
          </w:p>
        </w:tc>
        <w:tc>
          <w:tcPr>
            <w:tcW w:w="12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(8 )</w:t>
            </w:r>
          </w:p>
        </w:tc>
      </w:tr>
      <w:tr>
        <w:trPr>
          <w:trHeight w:val="135"/>
        </w:trPr>
        <w:tc>
          <w:tcPr>
            <w:tcW w:w="1140" w:type="dxa"/>
            <w:vAlign w:val="bottom"/>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4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(2,940 )</w:t>
            </w:r>
          </w:p>
        </w:tc>
        <w:tc>
          <w:tcPr>
            <w:tcW w:w="160" w:type="dxa"/>
            <w:vAlign w:val="bottom"/>
          </w:tcPr>
          <w:p>
            <w:pPr>
              <w:spacing w:after="0"/>
              <w:rPr>
                <w:sz w:val="11"/>
                <w:szCs w:val="11"/>
                <w:color w:val="auto"/>
              </w:rPr>
            </w:pPr>
          </w:p>
        </w:tc>
        <w:tc>
          <w:tcPr>
            <w:tcW w:w="120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(2,940 )</w:t>
            </w:r>
          </w:p>
        </w:tc>
      </w:tr>
      <w:tr>
        <w:trPr>
          <w:trHeight w:val="153"/>
        </w:trPr>
        <w:tc>
          <w:tcPr>
            <w:tcW w:w="114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(108,176 )</w:t>
            </w:r>
          </w:p>
        </w:tc>
        <w:tc>
          <w:tcPr>
            <w:tcW w:w="14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(108,176 )</w:t>
            </w:r>
          </w:p>
        </w:tc>
      </w:tr>
      <w:tr>
        <w:trPr>
          <w:trHeight w:val="128"/>
        </w:trPr>
        <w:tc>
          <w:tcPr>
            <w:tcW w:w="1140" w:type="dxa"/>
            <w:vAlign w:val="bottom"/>
          </w:tcPr>
          <w:p>
            <w:pPr>
              <w:jc w:val="right"/>
              <w:ind w:right="178"/>
              <w:spacing w:after="0" w:line="129" w:lineRule="exact"/>
              <w:rPr>
                <w:sz w:val="20"/>
                <w:szCs w:val="20"/>
                <w:color w:val="auto"/>
              </w:rPr>
            </w:pPr>
            <w:r>
              <w:rPr>
                <w:rFonts w:ascii="Times New Roman" w:cs="Times New Roman" w:eastAsia="Times New Roman" w:hAnsi="Times New Roman"/>
                <w:sz w:val="13"/>
                <w:szCs w:val="13"/>
                <w:b w:val="1"/>
                <w:bCs w:val="1"/>
                <w:color w:val="auto"/>
              </w:rPr>
              <w:t>522,605</w:t>
            </w: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(3,705</w:t>
            </w:r>
          </w:p>
        </w:tc>
        <w:tc>
          <w:tcPr>
            <w:tcW w:w="22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60" w:type="dxa"/>
            <w:vAlign w:val="bottom"/>
            <w:tcBorders>
              <w:top w:val="single" w:sz="8" w:color="auto"/>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(269,512</w:t>
            </w:r>
          </w:p>
        </w:tc>
        <w:tc>
          <w:tcPr>
            <w:tcW w:w="22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249,476</w:t>
            </w:r>
          </w:p>
        </w:tc>
        <w:tc>
          <w:tcPr>
            <w:tcW w:w="40" w:type="dxa"/>
            <w:vAlign w:val="bottom"/>
          </w:tcPr>
          <w:p>
            <w:pPr>
              <w:spacing w:after="0"/>
              <w:rPr>
                <w:sz w:val="11"/>
                <w:szCs w:val="1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3"/>
        </w:trPr>
        <w:tc>
          <w:tcPr>
            <w:tcW w:w="114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1,941</w:t>
            </w:r>
          </w:p>
        </w:tc>
        <w:tc>
          <w:tcPr>
            <w:tcW w:w="120" w:type="dxa"/>
            <w:vAlign w:val="bottom"/>
          </w:tcPr>
          <w:p>
            <w:pPr>
              <w:spacing w:after="0"/>
              <w:rPr>
                <w:sz w:val="23"/>
                <w:szCs w:val="23"/>
                <w:color w:val="auto"/>
              </w:rPr>
            </w:pPr>
          </w:p>
        </w:tc>
        <w:tc>
          <w:tcPr>
            <w:tcW w:w="12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1,941</w:t>
            </w:r>
          </w:p>
        </w:tc>
        <w:tc>
          <w:tcPr>
            <w:tcW w:w="40" w:type="dxa"/>
            <w:vAlign w:val="bottom"/>
          </w:tcPr>
          <w:p>
            <w:pPr>
              <w:spacing w:after="0"/>
              <w:rPr>
                <w:sz w:val="23"/>
                <w:szCs w:val="23"/>
                <w:color w:val="auto"/>
              </w:rPr>
            </w:pPr>
          </w:p>
        </w:tc>
      </w:tr>
      <w:tr>
        <w:trPr>
          <w:trHeight w:val="164"/>
        </w:trPr>
        <w:tc>
          <w:tcPr>
            <w:tcW w:w="114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19,079</w:t>
            </w:r>
          </w:p>
        </w:tc>
        <w:tc>
          <w:tcPr>
            <w:tcW w:w="120" w:type="dxa"/>
            <w:vAlign w:val="bottom"/>
          </w:tcPr>
          <w:p>
            <w:pPr>
              <w:spacing w:after="0"/>
              <w:rPr>
                <w:sz w:val="14"/>
                <w:szCs w:val="14"/>
                <w:color w:val="auto"/>
              </w:rPr>
            </w:pPr>
          </w:p>
        </w:tc>
        <w:tc>
          <w:tcPr>
            <w:tcW w:w="12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19,079</w:t>
            </w:r>
          </w:p>
        </w:tc>
        <w:tc>
          <w:tcPr>
            <w:tcW w:w="40" w:type="dxa"/>
            <w:vAlign w:val="bottom"/>
          </w:tcPr>
          <w:p>
            <w:pPr>
              <w:spacing w:after="0"/>
              <w:rPr>
                <w:sz w:val="14"/>
                <w:szCs w:val="14"/>
                <w:color w:val="auto"/>
              </w:rPr>
            </w:pPr>
          </w:p>
        </w:tc>
      </w:tr>
      <w:tr>
        <w:trPr>
          <w:trHeight w:val="281"/>
        </w:trPr>
        <w:tc>
          <w:tcPr>
            <w:tcW w:w="114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67,708</w:t>
            </w:r>
          </w:p>
        </w:tc>
        <w:tc>
          <w:tcPr>
            <w:tcW w:w="120" w:type="dxa"/>
            <w:vAlign w:val="bottom"/>
          </w:tcPr>
          <w:p>
            <w:pPr>
              <w:spacing w:after="0"/>
              <w:rPr>
                <w:sz w:val="24"/>
                <w:szCs w:val="24"/>
                <w:color w:val="auto"/>
              </w:rPr>
            </w:pPr>
          </w:p>
        </w:tc>
        <w:tc>
          <w:tcPr>
            <w:tcW w:w="12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67,722</w:t>
            </w:r>
          </w:p>
        </w:tc>
        <w:tc>
          <w:tcPr>
            <w:tcW w:w="40" w:type="dxa"/>
            <w:vAlign w:val="bottom"/>
          </w:tcPr>
          <w:p>
            <w:pPr>
              <w:spacing w:after="0"/>
              <w:rPr>
                <w:sz w:val="24"/>
                <w:szCs w:val="24"/>
                <w:color w:val="auto"/>
              </w:rPr>
            </w:pPr>
          </w:p>
        </w:tc>
      </w:tr>
      <w:tr>
        <w:trPr>
          <w:trHeight w:val="148"/>
        </w:trPr>
        <w:tc>
          <w:tcPr>
            <w:tcW w:w="114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12,054</w:t>
            </w:r>
          </w:p>
        </w:tc>
        <w:tc>
          <w:tcPr>
            <w:tcW w:w="120" w:type="dxa"/>
            <w:vAlign w:val="bottom"/>
          </w:tcPr>
          <w:p>
            <w:pPr>
              <w:spacing w:after="0"/>
              <w:rPr>
                <w:sz w:val="12"/>
                <w:szCs w:val="12"/>
                <w:color w:val="auto"/>
              </w:rPr>
            </w:pPr>
          </w:p>
        </w:tc>
        <w:tc>
          <w:tcPr>
            <w:tcW w:w="12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2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12,054</w:t>
            </w:r>
          </w:p>
        </w:tc>
        <w:tc>
          <w:tcPr>
            <w:tcW w:w="40" w:type="dxa"/>
            <w:vAlign w:val="bottom"/>
          </w:tcPr>
          <w:p>
            <w:pPr>
              <w:spacing w:after="0"/>
              <w:rPr>
                <w:sz w:val="12"/>
                <w:szCs w:val="12"/>
                <w:color w:val="auto"/>
              </w:rPr>
            </w:pPr>
          </w:p>
        </w:tc>
      </w:tr>
      <w:tr>
        <w:trPr>
          <w:trHeight w:val="149"/>
        </w:trPr>
        <w:tc>
          <w:tcPr>
            <w:tcW w:w="114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689</w:t>
            </w:r>
          </w:p>
        </w:tc>
        <w:tc>
          <w:tcPr>
            <w:tcW w:w="120" w:type="dxa"/>
            <w:vAlign w:val="bottom"/>
          </w:tcPr>
          <w:p>
            <w:pPr>
              <w:spacing w:after="0"/>
              <w:rPr>
                <w:sz w:val="12"/>
                <w:szCs w:val="12"/>
                <w:color w:val="auto"/>
              </w:rPr>
            </w:pPr>
          </w:p>
        </w:tc>
        <w:tc>
          <w:tcPr>
            <w:tcW w:w="12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2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40" w:type="dxa"/>
            <w:vAlign w:val="bottom"/>
          </w:tcPr>
          <w:p>
            <w:pPr>
              <w:spacing w:after="0"/>
              <w:rPr>
                <w:sz w:val="12"/>
                <w:szCs w:val="12"/>
                <w:color w:val="auto"/>
              </w:rPr>
            </w:pPr>
          </w:p>
        </w:tc>
      </w:tr>
      <w:tr>
        <w:trPr>
          <w:trHeight w:val="135"/>
        </w:trPr>
        <w:tc>
          <w:tcPr>
            <w:tcW w:w="1140" w:type="dxa"/>
            <w:vAlign w:val="bottom"/>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3,891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3,891</w:t>
            </w:r>
          </w:p>
        </w:tc>
        <w:tc>
          <w:tcPr>
            <w:tcW w:w="40" w:type="dxa"/>
            <w:vAlign w:val="bottom"/>
          </w:tcPr>
          <w:p>
            <w:pPr>
              <w:spacing w:after="0"/>
              <w:rPr>
                <w:sz w:val="11"/>
                <w:szCs w:val="11"/>
                <w:color w:val="auto"/>
              </w:rPr>
            </w:pPr>
          </w:p>
        </w:tc>
      </w:tr>
      <w:tr>
        <w:trPr>
          <w:trHeight w:val="153"/>
        </w:trPr>
        <w:tc>
          <w:tcPr>
            <w:tcW w:w="114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(101,744 )</w:t>
            </w:r>
          </w:p>
        </w:tc>
        <w:tc>
          <w:tcPr>
            <w:tcW w:w="14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(101,744 )</w:t>
            </w:r>
          </w:p>
        </w:tc>
      </w:tr>
      <w:tr>
        <w:trPr>
          <w:trHeight w:val="129"/>
        </w:trPr>
        <w:tc>
          <w:tcPr>
            <w:tcW w:w="1140" w:type="dxa"/>
            <w:vAlign w:val="bottom"/>
          </w:tcPr>
          <w:p>
            <w:pPr>
              <w:jc w:val="right"/>
              <w:ind w:right="178"/>
              <w:spacing w:after="0" w:line="129" w:lineRule="exact"/>
              <w:rPr>
                <w:sz w:val="20"/>
                <w:szCs w:val="20"/>
                <w:color w:val="auto"/>
              </w:rPr>
            </w:pPr>
            <w:r>
              <w:rPr>
                <w:rFonts w:ascii="Times New Roman" w:cs="Times New Roman" w:eastAsia="Times New Roman" w:hAnsi="Times New Roman"/>
                <w:sz w:val="13"/>
                <w:szCs w:val="13"/>
                <w:b w:val="1"/>
                <w:bCs w:val="1"/>
                <w:color w:val="auto"/>
              </w:rPr>
              <w:t>624,076</w:t>
            </w: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186</w:t>
            </w:r>
          </w:p>
        </w:tc>
        <w:tc>
          <w:tcPr>
            <w:tcW w:w="22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(371,256</w:t>
            </w:r>
          </w:p>
        </w:tc>
        <w:tc>
          <w:tcPr>
            <w:tcW w:w="22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253,108</w:t>
            </w:r>
          </w:p>
        </w:tc>
        <w:tc>
          <w:tcPr>
            <w:tcW w:w="40" w:type="dxa"/>
            <w:vAlign w:val="bottom"/>
          </w:tcPr>
          <w:p>
            <w:pPr>
              <w:spacing w:after="0"/>
              <w:rPr>
                <w:sz w:val="11"/>
                <w:szCs w:val="1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3"/>
        </w:trPr>
        <w:tc>
          <w:tcPr>
            <w:tcW w:w="114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5,939</w:t>
            </w:r>
          </w:p>
        </w:tc>
        <w:tc>
          <w:tcPr>
            <w:tcW w:w="120" w:type="dxa"/>
            <w:vAlign w:val="bottom"/>
          </w:tcPr>
          <w:p>
            <w:pPr>
              <w:spacing w:after="0"/>
              <w:rPr>
                <w:sz w:val="23"/>
                <w:szCs w:val="23"/>
                <w:color w:val="auto"/>
              </w:rPr>
            </w:pPr>
          </w:p>
        </w:tc>
        <w:tc>
          <w:tcPr>
            <w:tcW w:w="12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5,941</w:t>
            </w:r>
          </w:p>
        </w:tc>
        <w:tc>
          <w:tcPr>
            <w:tcW w:w="40" w:type="dxa"/>
            <w:vAlign w:val="bottom"/>
          </w:tcPr>
          <w:p>
            <w:pPr>
              <w:spacing w:after="0"/>
              <w:rPr>
                <w:sz w:val="23"/>
                <w:szCs w:val="23"/>
                <w:color w:val="auto"/>
              </w:rPr>
            </w:pPr>
          </w:p>
        </w:tc>
      </w:tr>
      <w:tr>
        <w:trPr>
          <w:trHeight w:val="164"/>
        </w:trPr>
        <w:tc>
          <w:tcPr>
            <w:tcW w:w="114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28,897</w:t>
            </w:r>
          </w:p>
        </w:tc>
        <w:tc>
          <w:tcPr>
            <w:tcW w:w="120" w:type="dxa"/>
            <w:vAlign w:val="bottom"/>
          </w:tcPr>
          <w:p>
            <w:pPr>
              <w:spacing w:after="0"/>
              <w:rPr>
                <w:sz w:val="14"/>
                <w:szCs w:val="14"/>
                <w:color w:val="auto"/>
              </w:rPr>
            </w:pPr>
          </w:p>
        </w:tc>
        <w:tc>
          <w:tcPr>
            <w:tcW w:w="12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28,897</w:t>
            </w:r>
          </w:p>
        </w:tc>
        <w:tc>
          <w:tcPr>
            <w:tcW w:w="40" w:type="dxa"/>
            <w:vAlign w:val="bottom"/>
          </w:tcPr>
          <w:p>
            <w:pPr>
              <w:spacing w:after="0"/>
              <w:rPr>
                <w:sz w:val="14"/>
                <w:szCs w:val="14"/>
                <w:color w:val="auto"/>
              </w:rPr>
            </w:pPr>
          </w:p>
        </w:tc>
      </w:tr>
      <w:tr>
        <w:trPr>
          <w:trHeight w:val="281"/>
        </w:trPr>
        <w:tc>
          <w:tcPr>
            <w:tcW w:w="114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41,719</w:t>
            </w:r>
          </w:p>
        </w:tc>
        <w:tc>
          <w:tcPr>
            <w:tcW w:w="120" w:type="dxa"/>
            <w:vAlign w:val="bottom"/>
          </w:tcPr>
          <w:p>
            <w:pPr>
              <w:spacing w:after="0"/>
              <w:rPr>
                <w:sz w:val="24"/>
                <w:szCs w:val="24"/>
                <w:color w:val="auto"/>
              </w:rPr>
            </w:pPr>
          </w:p>
        </w:tc>
        <w:tc>
          <w:tcPr>
            <w:tcW w:w="12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41,723</w:t>
            </w:r>
          </w:p>
        </w:tc>
        <w:tc>
          <w:tcPr>
            <w:tcW w:w="40" w:type="dxa"/>
            <w:vAlign w:val="bottom"/>
          </w:tcPr>
          <w:p>
            <w:pPr>
              <w:spacing w:after="0"/>
              <w:rPr>
                <w:sz w:val="24"/>
                <w:szCs w:val="24"/>
                <w:color w:val="auto"/>
              </w:rPr>
            </w:pPr>
          </w:p>
        </w:tc>
      </w:tr>
      <w:tr>
        <w:trPr>
          <w:trHeight w:val="135"/>
        </w:trPr>
        <w:tc>
          <w:tcPr>
            <w:tcW w:w="1140" w:type="dxa"/>
            <w:vAlign w:val="bottom"/>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150</w:t>
            </w:r>
          </w:p>
        </w:tc>
        <w:tc>
          <w:tcPr>
            <w:tcW w:w="40" w:type="dxa"/>
            <w:vAlign w:val="bottom"/>
          </w:tcPr>
          <w:p>
            <w:pPr>
              <w:spacing w:after="0"/>
              <w:rPr>
                <w:sz w:val="11"/>
                <w:szCs w:val="11"/>
                <w:color w:val="auto"/>
              </w:rPr>
            </w:pPr>
          </w:p>
        </w:tc>
      </w:tr>
      <w:tr>
        <w:trPr>
          <w:trHeight w:val="153"/>
        </w:trPr>
        <w:tc>
          <w:tcPr>
            <w:tcW w:w="114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(130,302 )</w:t>
            </w:r>
          </w:p>
        </w:tc>
        <w:tc>
          <w:tcPr>
            <w:tcW w:w="14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(130,302 )</w:t>
            </w:r>
          </w:p>
        </w:tc>
      </w:tr>
      <w:tr>
        <w:trPr>
          <w:trHeight w:val="129"/>
        </w:trPr>
        <w:tc>
          <w:tcPr>
            <w:tcW w:w="1140" w:type="dxa"/>
            <w:vAlign w:val="bottom"/>
          </w:tcPr>
          <w:p>
            <w:pPr>
              <w:jc w:val="right"/>
              <w:ind w:right="178"/>
              <w:spacing w:after="0" w:line="129" w:lineRule="exact"/>
              <w:rPr>
                <w:sz w:val="20"/>
                <w:szCs w:val="20"/>
                <w:color w:val="auto"/>
              </w:rPr>
            </w:pPr>
            <w:r>
              <w:rPr>
                <w:rFonts w:ascii="Times New Roman" w:cs="Times New Roman" w:eastAsia="Times New Roman" w:hAnsi="Times New Roman"/>
                <w:sz w:val="13"/>
                <w:szCs w:val="13"/>
                <w:b w:val="1"/>
                <w:bCs w:val="1"/>
                <w:color w:val="auto"/>
              </w:rPr>
              <w:t>700,631</w:t>
            </w: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336</w:t>
            </w:r>
          </w:p>
        </w:tc>
        <w:tc>
          <w:tcPr>
            <w:tcW w:w="22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(501,558</w:t>
            </w:r>
          </w:p>
        </w:tc>
        <w:tc>
          <w:tcPr>
            <w:tcW w:w="22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199,517</w:t>
            </w:r>
          </w:p>
        </w:tc>
        <w:tc>
          <w:tcPr>
            <w:tcW w:w="40" w:type="dxa"/>
            <w:vAlign w:val="bottom"/>
          </w:tcPr>
          <w:p>
            <w:pPr>
              <w:spacing w:after="0"/>
              <w:rPr>
                <w:sz w:val="11"/>
                <w:szCs w:val="1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-2596515</wp:posOffset>
            </wp:positionV>
            <wp:extent cx="8058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-1851025</wp:posOffset>
            </wp:positionV>
            <wp:extent cx="8058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-890905</wp:posOffset>
            </wp:positionV>
            <wp:extent cx="80581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-119380</wp:posOffset>
            </wp:positionV>
            <wp:extent cx="80581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900" w:space="280"/>
            <w:col w:w="4980"/>
          </w:cols>
          <w:pgMar w:left="340" w:top="1089" w:right="3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consolidated financial statements.</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089" w:right="399" w:bottom="1440"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3"/>
                <w:szCs w:val="13"/>
                <w:color w:val="auto"/>
              </w:rPr>
            </w:pPr>
          </w:p>
        </w:tc>
        <w:tc>
          <w:tcPr>
            <w:tcW w:w="196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3"/>
                <w:szCs w:val="13"/>
                <w:color w:val="auto"/>
              </w:rPr>
            </w:pPr>
          </w:p>
        </w:tc>
        <w:tc>
          <w:tcPr>
            <w:tcW w:w="108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(130,302 )</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(101,744 )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(108,176 )</w:t>
            </w:r>
          </w:p>
        </w:tc>
        <w:tc>
          <w:tcPr>
            <w:tcW w:w="0" w:type="dxa"/>
            <w:vAlign w:val="bottom"/>
          </w:tcPr>
          <w:p>
            <w:pPr>
              <w:spacing w:after="0"/>
              <w:rPr>
                <w:sz w:val="1"/>
                <w:szCs w:val="1"/>
                <w:color w:val="auto"/>
              </w:rPr>
            </w:pPr>
          </w:p>
        </w:tc>
      </w:tr>
      <w:tr>
        <w:trPr>
          <w:trHeight w:val="198"/>
        </w:trPr>
        <w:tc>
          <w:tcPr>
            <w:tcW w:w="62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 from</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Accretion on marketable securities</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(4,617 )</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(3,394 )</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(669 )</w:t>
            </w: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(2,225 )</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(2,056 )</w:t>
            </w:r>
          </w:p>
        </w:tc>
        <w:tc>
          <w:tcPr>
            <w:tcW w:w="0" w:type="dxa"/>
            <w:vAlign w:val="bottom"/>
          </w:tcPr>
          <w:p>
            <w:pPr>
              <w:spacing w:after="0"/>
              <w:rPr>
                <w:sz w:val="1"/>
                <w:szCs w:val="1"/>
                <w:color w:val="auto"/>
              </w:rPr>
            </w:pPr>
          </w:p>
        </w:tc>
      </w:tr>
      <w:tr>
        <w:trPr>
          <w:trHeight w:val="216"/>
        </w:trPr>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Right-of-use asset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(10,125 )</w:t>
            </w: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(41 )</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(1,184 )</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(1,705 )</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(2,029 )</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(2,140 )</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(2,439 )</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(29,969 )</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(31,527 )</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(16,860 )</w:t>
            </w:r>
          </w:p>
        </w:tc>
        <w:tc>
          <w:tcPr>
            <w:tcW w:w="0" w:type="dxa"/>
            <w:vAlign w:val="bottom"/>
          </w:tcPr>
          <w:p>
            <w:pPr>
              <w:spacing w:after="0"/>
              <w:rPr>
                <w:sz w:val="1"/>
                <w:szCs w:val="1"/>
                <w:color w:val="auto"/>
              </w:rPr>
            </w:pPr>
          </w:p>
        </w:tc>
      </w:tr>
      <w:tr>
        <w:trPr>
          <w:trHeight w:val="20"/>
        </w:trPr>
        <w:tc>
          <w:tcPr>
            <w:tcW w:w="6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(131,501 )</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(117,982 )</w:t>
            </w: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(109,080 )</w:t>
            </w: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(754 )</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(1,526 )</w:t>
            </w: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(7,692 )</w:t>
            </w: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327,768</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353,526</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(240,888 )</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(310,574 )</w:t>
            </w: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(208,504 )</w:t>
            </w:r>
          </w:p>
        </w:tc>
        <w:tc>
          <w:tcPr>
            <w:tcW w:w="0" w:type="dxa"/>
            <w:vAlign w:val="bottom"/>
          </w:tcPr>
          <w:p>
            <w:pPr>
              <w:spacing w:after="0"/>
              <w:rPr>
                <w:sz w:val="1"/>
                <w:szCs w:val="1"/>
                <w:color w:val="auto"/>
              </w:rPr>
            </w:pPr>
          </w:p>
        </w:tc>
      </w:tr>
      <w:tr>
        <w:trPr>
          <w:trHeight w:val="210"/>
        </w:trPr>
        <w:tc>
          <w:tcPr>
            <w:tcW w:w="6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86,126</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41,426</w:t>
            </w:r>
          </w:p>
        </w:tc>
        <w:tc>
          <w:tcPr>
            <w:tcW w:w="3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41,723</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80,017</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2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upon exercise of stock options and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shares under ESPP</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Return of capital from a stockholder - related party</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transaction costs</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(241 )</w:t>
            </w: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0"/>
        </w:trPr>
        <w:tc>
          <w:tcPr>
            <w:tcW w:w="6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47,664</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82,406</w:t>
            </w:r>
          </w:p>
        </w:tc>
        <w:tc>
          <w:tcPr>
            <w:tcW w:w="3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(81,066 )</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69,808</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63,958</w:t>
            </w:r>
          </w:p>
        </w:tc>
        <w:tc>
          <w:tcPr>
            <w:tcW w:w="3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72,097</w:t>
            </w:r>
          </w:p>
        </w:tc>
        <w:tc>
          <w:tcPr>
            <w:tcW w:w="16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69,808</w:t>
            </w:r>
          </w:p>
        </w:tc>
        <w:tc>
          <w:tcPr>
            <w:tcW w:w="3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6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3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activity:</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from obtaining right-of-use assets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Revaluation of right-of-use asset and lease liability upon lease remeasurement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(228 )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-3208655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-3208655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-3208655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-1125220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-1125220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-1125220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8" w:name="page109"/>
    <w:bookmarkEnd w:id="10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29"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Tango Therapeutics, Inc. is a precision oncology company committed to the discovery and development of novel drugs in defined patient populations with high unmet medical need.</w:t>
      </w:r>
    </w:p>
    <w:p>
      <w:pPr>
        <w:spacing w:after="0" w:line="162" w:lineRule="exact"/>
        <w:rPr>
          <w:sz w:val="20"/>
          <w:szCs w:val="20"/>
          <w:color w:val="auto"/>
        </w:rPr>
      </w:pPr>
    </w:p>
    <w:p>
      <w:pPr>
        <w:ind w:right="60" w:firstLine="554"/>
        <w:spacing w:after="0" w:line="266" w:lineRule="auto"/>
        <w:rPr>
          <w:sz w:val="20"/>
          <w:szCs w:val="20"/>
          <w:color w:val="auto"/>
        </w:rPr>
      </w:pPr>
      <w:r>
        <w:rPr>
          <w:rFonts w:ascii="Times New Roman" w:cs="Times New Roman" w:eastAsia="Times New Roman" w:hAnsi="Times New Roman"/>
          <w:sz w:val="18"/>
          <w:szCs w:val="18"/>
          <w:color w:val="auto"/>
        </w:rPr>
        <w:t>Tango Therapeutics, Inc. (together with its consolidated subsidiaries, Tango or the Company), formerly known as BCTG Acquisition Corp. (BCTG), was incorporated in Delaware on May 21, 2020. BCTG was a special purpose acquisition company (SPAC) formed for the purpose of effecting a merger, capital stock exchange, asset acquisition, stock purchase, reorganization or similar business combination.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Stock Offering</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September 2022, the Company entered into a sales agreement (the Sales Agreement) with Jefferies LLC (Jefferies) which permitted the Company to sell from time to time, at its option, up to an aggregate of $100.0 million of shares of its common stock through Jefferies, as sales agent. Sales of the common stock, if any, will be made by methods deemed to be "at-the-market" stock offerings. The Sales Agreement will terminate upon the earliest of: (a) the sale of $100.0 million of shares of the Company's common stock or (b) the termination of the Sales Agreement by the Company or Jefferies. As of December 31, 2024, the Company sold 4,001,200 shares of common stock under this stock offering program for gross proceeds of $43.0 million.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(U.S. GAAP). The accompanying consolidated financial statements reflect the operations of Tango and its wholly owned subsidiaries. All intercompany accounts and transactions have been eliminated. The functional and reporting currency of the Company and its subsidiaries is the U.S. dollar.</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expects that its existing cash, cash equivalents and marketable securities as of December 31, 2024 of $257.9 million will be sufficient to fund its operating expenses and capital expenditure requirements for at least twelve months from the issuance date of these financial statements or at least into the third quarter of 2026.</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Since inception, the Company has incurred significant operating losses and expects to continue to generate operating losses and negative cash flows from operations for the foreseeable future. The Company will need to finance its operations through public or private securities offerings, debt financings or other sources, which may include licensing, collaborations or other strategic transactions or arrangements. If the Company is unable to obtain funding, the Company may be required to delay, limit, reduce or terminate product development or future commercialization efforts or grant rights to develop and market products or product candidates that the Company would otherwise prefer to develop and market itself.</w:t>
      </w:r>
    </w:p>
    <w:p>
      <w:pPr>
        <w:spacing w:after="0" w:line="287" w:lineRule="exact"/>
        <w:rPr>
          <w:sz w:val="20"/>
          <w:szCs w:val="20"/>
          <w:color w:val="auto"/>
        </w:rPr>
      </w:pPr>
    </w:p>
    <w:p>
      <w:pPr>
        <w:ind w:left="520" w:right="7660" w:hanging="512"/>
        <w:spacing w:after="0" w:line="503" w:lineRule="auto"/>
        <w:tabs>
          <w:tab w:leader="none" w:pos="191"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Use of Estimates</w:t>
      </w: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requires that the Company make estimates, judgments and assumptions that may affect the reported amounts of assets, liabilities, equity, revenues and expenses and related disclosures. Significant estimates and assumptions made in the consolidated financial statements include, but are not limited to, the revenue recognized from collaboration agreements, the valuation of stock-based awards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consolidated financial statements, the Company is not aware of any specific event or circumstance that would require the Company to update estimates, judgments or revise the carrying value of any assets or liabilities. Actual results may differ from these estimates under different assumptions or conditions. Changes in estimates are reflected in reported results in the period in which they become known.</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09" w:name="page110"/>
    <w:bookmarkEnd w:id="10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All highly liquid marketable securities purchased with an original maturity date of 90 days or less at the date of purchase are considered to be cash equivalents. Cash equivalents consisted of money market funds and U.S. Treasury bills as of December 31, 2024 and 2023.</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Marketable Securities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Marketable debt securities consist of investments with original maturities greater than 90 days. The Company classifies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which is based on quoted market prices. Unrealized gains are reported as a component of accumulated other comprehensive income in stockholders’ equity. Amortization and accretion of premiums and discounts are recorded in interest income. Realized gains and losses are included as a component of other income, net in the consolidated statements of operations.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evaluates its investments with unrealized losses for impairment. When assessing investments for unrealized declines in value, the Company considers whether the decline in value is related to a credit loss or non-credit loss. For credit losses, the Company reduces the investment to fair value through an allowance for credit losses recorded to the balance sheet and corresponding charge to the statement of operations. The allowance for credit losses and corresponding impairment charge is adjusted each period for changes in fair value. For non-credit losses, the Company reduces the investment to fair value through a charge to the statement of comprehensive loss, reported as a component of accumulated other comprehensive income (loss) in stockholders’ equity. No credit losses were recorded during the periods presented.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accounting standard for fair value measurements defines fair value, establishes a framework for measuring fair value in accordance with U.S. GAAP, and requires certain disclosures about fair value measurements. Under this standard, fair value is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9" w:lineRule="exact"/>
        <w:rPr>
          <w:sz w:val="20"/>
          <w:szCs w:val="20"/>
          <w:color w:val="auto"/>
        </w:rPr>
      </w:pPr>
    </w:p>
    <w:p>
      <w:pPr>
        <w:ind w:left="1140" w:right="140" w:hanging="383"/>
        <w:spacing w:after="0" w:line="282"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Fair values are determined utilizing prices (unadjusted) in active markets for identical assets or liabilities that the Company has the ability to access.</w:t>
      </w:r>
    </w:p>
    <w:p>
      <w:pPr>
        <w:spacing w:after="0" w:line="53" w:lineRule="exact"/>
        <w:rPr>
          <w:rFonts w:ascii="Times New Roman" w:cs="Times New Roman" w:eastAsia="Times New Roman" w:hAnsi="Times New Roman"/>
          <w:sz w:val="18"/>
          <w:szCs w:val="18"/>
          <w:color w:val="auto"/>
        </w:rPr>
      </w:pPr>
    </w:p>
    <w:p>
      <w:pPr>
        <w:ind w:left="1140" w:right="480" w:hanging="383"/>
        <w:spacing w:after="0" w:line="282"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Fair values are determined by utilizing quoted prices for identical or similar assets and liabilities in active markets or other market observable inputs such as interest rates, yield curves, and foreign currency spot rates.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117"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fair value of the Company’s cash equivalents and marketable securities are determined according to the fair value hierarchy described below (see Note 4). The carrying values of the Company’s accounts receivable, accounts payable and accrued expenses approximate their fair values due to the short-term nature of these assets and liabilities.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Suppliers</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cash equivalents and marketable debt securities. The Company’s cash, cash equivalent and marketable securities balances are held by major financial institutions that management believes to be creditworthy. The Company uses multiple financial institutions to limit the amount of credit exposure to any one financial institution. Substantially all the Company’s cash, cash equivalent and marketable debt securities were invested in money market funds, U.S. Treasury bills, and U.S. government agency bonds at December 31, 2024 and 2023. At times, the Company’s cash deposits may exceed the amount of federal</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0" w:name="page111"/>
    <w:bookmarkEnd w:id="110"/>
    <w:p>
      <w:pPr>
        <w:ind w:right="100"/>
        <w:spacing w:after="0" w:line="282" w:lineRule="auto"/>
        <w:rPr>
          <w:sz w:val="20"/>
          <w:szCs w:val="20"/>
          <w:color w:val="auto"/>
        </w:rPr>
      </w:pPr>
      <w:r>
        <w:rPr>
          <w:rFonts w:ascii="Times New Roman" w:cs="Times New Roman" w:eastAsia="Times New Roman" w:hAnsi="Times New Roman"/>
          <w:sz w:val="18"/>
          <w:szCs w:val="18"/>
          <w:color w:val="auto"/>
        </w:rPr>
        <w:t>insurance provided on such deposits. The Company has not experienced any losses in such accounts and believes it is not exposed to significant credit risk beyond the normal credit risk associated with commercial banking relationships.</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relies, and expects to continue to rely, on a small number of vendors to perform research activities, drug product and drug substance manufacturing, and clinical trial activities that continue to progress its product candidates for its development programs. These programs could be adversely affected by a significant interruption in the related processes of these vendors.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Cash accounts with any type of restriction are considered restricted cash and are classified on the balance sheet based on the length of the restrictive obligation. As of December 31, 2024, 2023, and 2022, the Company recorded restricted cash of $2.6 million, $3.4 million and $4.0 million, respectively, all of which was related to security deposits associated with the Company’s facility leases. For additional information on these security deposits, refer to Note 7, Leases.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reconciliation of cash and cash equivalents and restricted cash to amounts presented in the consolidated statements of cash flows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69,530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66,385</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72,097</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69,808</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63,958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 is recognized using the straight-line method over the estimated useful lives of each asset. Estimated useful lives are periodically assessed to determine if changes are appropriate. The estimated useful lives of the Company’s property and equipment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20" w:type="dxa"/>
            <w:vAlign w:val="bottom"/>
          </w:tcPr>
          <w:p>
            <w:pPr>
              <w:spacing w:after="0"/>
              <w:rPr>
                <w:sz w:val="15"/>
                <w:szCs w:val="15"/>
                <w:color w:val="auto"/>
              </w:rPr>
            </w:pPr>
          </w:p>
        </w:tc>
        <w:tc>
          <w:tcPr>
            <w:tcW w:w="6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10"/>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shd w:val="clear" w:color="auto" w:fill="CFF0FC"/>
          </w:tcPr>
          <w:p>
            <w:pPr>
              <w:spacing w:after="0"/>
              <w:rPr>
                <w:sz w:val="18"/>
                <w:szCs w:val="18"/>
                <w:color w:val="auto"/>
              </w:rPr>
            </w:pPr>
          </w:p>
        </w:tc>
        <w:tc>
          <w:tcPr>
            <w:tcW w:w="6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220" w:type="dxa"/>
            <w:vAlign w:val="bottom"/>
          </w:tcPr>
          <w:p>
            <w:pPr>
              <w:spacing w:after="0"/>
              <w:rPr>
                <w:sz w:val="18"/>
                <w:szCs w:val="18"/>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shd w:val="clear" w:color="auto" w:fill="CFF0FC"/>
          </w:tcPr>
          <w:p>
            <w:pPr>
              <w:spacing w:after="0"/>
              <w:rPr>
                <w:sz w:val="18"/>
                <w:szCs w:val="18"/>
                <w:color w:val="auto"/>
              </w:rPr>
            </w:pPr>
          </w:p>
        </w:tc>
        <w:tc>
          <w:tcPr>
            <w:tcW w:w="6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20" w:type="dxa"/>
            <w:vAlign w:val="bottom"/>
          </w:tcPr>
          <w:p>
            <w:pPr>
              <w:spacing w:after="0"/>
              <w:rPr>
                <w:sz w:val="18"/>
                <w:szCs w:val="18"/>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FF0FC"/>
          </w:tcPr>
          <w:p>
            <w:pPr>
              <w:spacing w:after="0"/>
              <w:rPr>
                <w:sz w:val="18"/>
                <w:szCs w:val="18"/>
                <w:color w:val="auto"/>
              </w:rPr>
            </w:pPr>
          </w:p>
        </w:tc>
        <w:tc>
          <w:tcPr>
            <w:tcW w:w="6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Shorter of remaining lease term or 10 years</w:t>
            </w:r>
          </w:p>
        </w:tc>
      </w:tr>
    </w:tbl>
    <w:p>
      <w:pPr>
        <w:spacing w:after="0" w:line="19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reviews long-lived assets, such as property and equipment, for impairment when events or changes in circumstances indicate the carrying value of the assets may not be recoverable. If indicators of impairment are present, the assets are tested for recoverability by comparing the carrying amount of the assets to the related estimated future undiscounted cash flows that the assets are expected to generate. If the expected cash flows are less than the carrying value of the asset group, then the asset group is considered to be impaired and its carrying value is written down to fair value, based on the related estimated discounted future cash flows. To date, no such impairment losses have been recorded.</w:t>
      </w:r>
    </w:p>
    <w:p>
      <w:pPr>
        <w:spacing w:after="0" w:line="183"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Costs for assets not yet placed into service are capitalized as construction-in-progress and depreciated or amortized in accordance with the above useful lives once placed into service. Upon retirement or sale, the related cost and accumulated depreciation and amortization are removed from the accounts and any resulting gain or loss is included in the consolidated statements of operations. Repairs and maintenance costs are expensed as incurred.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specific facts and circumstances and the existence of an identified asset(s), if any, and its control over the use of the identified asset(s), if applicable. Upon lease commencement, operating lease liabilities and their corresponding right-of-use assets are recorded on the balance sheet based at the present value of lease payments over the expected lease term. Leases with an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t>initial term of 12 months or less are not recorded on the balance sheet. Lease expense is recognized over the expected term on a straight-line basis.</w:t>
      </w:r>
    </w:p>
    <w:p>
      <w:pPr>
        <w:spacing w:after="0" w:line="225"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Lease payments are discounted at the lease commencement date using the interest rate implicit in the lease contract. As this rate is typically not readily determinable, the Company determines an incremental borrowing rate that is used to discount lease payments, which reflects the fixed rate at which the Company could borrow on a collateralized basis the amount of the lease payments in the same currency, for a similar term, in a similar economic environment. Certain prospective adjustments to the right-of-use asset may be required for items such as initial direct costs paid or incentives received.</w:t>
      </w:r>
    </w:p>
    <w:p>
      <w:pPr>
        <w:spacing w:after="0" w:line="16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elected to account for lease and non-lease components as a single lease component, however non-lease components that are variable, such as common area maintenance and utilities, are generally paid separately from rent based on actual costs incurred and therefore are not included in the right-of-use asset and operating lease liability and are reflected as an expense in the period incurred. The Company’s lease terms often include renewal options. The amounts determined for the Company’s right-of-use assets and lease liabilities generally do not assume that any renewal options or any early-termination provisions, if any, are exercised, unless it is reasonably certain that the Company will exercise such options.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At contract inception, the Company assesses whether the collaboration arrangements are within the scope of ASC Topic 808, Collaborative Arrangements, or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ASC 808 that contain multiple elements, the Company first determines which elements of the arrangement are within the scope of ASC 808 and which elements are within the scope of ASC 606 (as described below). For elements of collaboration arrangements that are accounted for pursuant to ASC 808, an appropriate recognition method is determined and applied consistently, either by analogy to authoritative accounting literature or by applying a reasonable and rational policy election. To date, the Company has not entered into any arrangements within the scope of ASC 808.</w:t>
      </w:r>
    </w:p>
    <w:p>
      <w:pPr>
        <w:spacing w:after="0" w:line="19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Company’s revenues are primarily generated through its license and collaboration agreements with Gilead. Refer to Note 3, “Collaboration Agreements” elsewhere in these notes to the Company's consolidated financial statements.</w:t>
      </w:r>
    </w:p>
    <w:p>
      <w:pPr>
        <w:spacing w:after="0" w:line="162"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The Company recognizes revenue in accordance with ASC Topic 606, Revenue from Contracts with Customers.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performance obligations are satisfied. The Company only applies this framework to contracts when it is likely that the entity will collect the consideration it is entitled to in exchange for the goods or services it transfers to the customer. At contract inception, once the contract is determined to be within the scope of ASC 606, the Company assesses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The Company then allocates the transaction price (that is, the amount of consideration the Company expects to be entitled to from a customer in exchange for the promised goods or services) to each performance obligation and recognizes the associated revenue when (or as) each performance obligation is satisfied. The Company’s estimate of the transaction price for each contract includes all variable consideration to which the Company expects to be entitled, subject to the constraint on variable consideration. Variable consideration is not constrained if the potential reversal of cumulative revenue recognized at the contract level is not significant.</w:t>
      </w:r>
    </w:p>
    <w:p>
      <w:pPr>
        <w:spacing w:after="0" w:line="197" w:lineRule="exact"/>
        <w:rPr>
          <w:sz w:val="20"/>
          <w:szCs w:val="20"/>
          <w:color w:val="auto"/>
        </w:rPr>
      </w:pPr>
    </w:p>
    <w:p>
      <w:pPr>
        <w:jc w:val="both"/>
        <w:ind w:right="220" w:firstLine="509"/>
        <w:spacing w:after="0" w:line="269" w:lineRule="auto"/>
        <w:rPr>
          <w:sz w:val="20"/>
          <w:szCs w:val="20"/>
          <w:color w:val="auto"/>
        </w:rPr>
      </w:pPr>
      <w:r>
        <w:rPr>
          <w:rFonts w:ascii="Times New Roman" w:cs="Times New Roman" w:eastAsia="Times New Roman" w:hAnsi="Times New Roman"/>
          <w:sz w:val="17"/>
          <w:szCs w:val="17"/>
          <w:color w:val="auto"/>
        </w:rPr>
        <w:t>In determining the appropriate amount of revenue to be recognized as the Company fulfills its obligations under active agreements, the Company must use its judgment to determine: (a) the number of performance obligations based on the determination under step (ii) above; (b) the transaction price under step (iii) above; (c) the stand-alone selling price for each performance obligation identified in the contract for the allocation of transaction price in step (iv) above; and (d) the contract term and pattern of satisfaction of the performance obligations under step (v) above. The Company uses judgment to determine whether milestones or other variable consideration, except for royalties, should be included in the transaction price as described further below.</w:t>
      </w:r>
    </w:p>
    <w:p>
      <w:pPr>
        <w:spacing w:after="0" w:line="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transaction price is allocated to the identified performance obligations on a relative stand-alone selling price basis, for which the Company recognizes revenue as or when the performance obligations under the</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2" w:name="page113"/>
    <w:bookmarkEnd w:id="112"/>
    <w:p>
      <w:pPr>
        <w:ind w:right="40"/>
        <w:spacing w:after="0" w:line="261" w:lineRule="auto"/>
        <w:rPr>
          <w:sz w:val="20"/>
          <w:szCs w:val="20"/>
          <w:color w:val="auto"/>
        </w:rPr>
      </w:pPr>
      <w:r>
        <w:rPr>
          <w:rFonts w:ascii="Times New Roman" w:cs="Times New Roman" w:eastAsia="Times New Roman" w:hAnsi="Times New Roman"/>
          <w:sz w:val="18"/>
          <w:szCs w:val="18"/>
          <w:color w:val="auto"/>
        </w:rPr>
        <w:t>contract are satisfied. In certain instances, the timing of satisfying these obligations can be difficult to estimate. Accordingly, the Company’s estimates may change in the future and those changes could be material. Such changes to estimates would result in a change in amounts of revenue recognized. If these estimates and judgments change over the course of these agreements, it may affect the timing and amount of revenue that the Company recognizes and records in future periods.</w:t>
      </w:r>
    </w:p>
    <w:p>
      <w:pPr>
        <w:spacing w:after="0" w:line="18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Amounts due to the Company for satisfying the revenue recognition criteria or that are contractually due based upon the terms of the collaboration agreements are recorded as accounts receivable in the Company’s consolidated balance sheet. Amounts received prior to satisfying the revenue recognition criteria are recorded as deferred revenue in the Company’s consolidated balance sheets. Amounts expected to be recognized as revenue within the one year following the balance sheet date are classified as current deferred revenue. Amounts not expected to be recognized as revenue within the one year following the balance sheet date are classified as deferred revenue, net of current portion. Amounts recognized as revenue, but not yet received or invoiced are generally recognized as contract assets.</w:t>
      </w:r>
    </w:p>
    <w:p>
      <w:pPr>
        <w:spacing w:after="0" w:line="18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Exclusive License Rights </w:t>
      </w:r>
      <w:r>
        <w:rPr>
          <w:rFonts w:ascii="Times New Roman" w:cs="Times New Roman" w:eastAsia="Times New Roman" w:hAnsi="Times New Roman"/>
          <w:sz w:val="18"/>
          <w:szCs w:val="18"/>
          <w:color w:val="auto"/>
        </w:rPr>
        <w:t>— If the license to the Company’s intellectual property is determined to be distinct from the other promises or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 In assessing whether a license is distinct from the other promises, the Company considers relevant facts and circumstances of each arrangement, including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the Company utilizes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 license is the predominant promise, and it is determined that the license represents functional intellectual property (“IP”), revenue is recognized at the point in time when control of the license is transferred. If it is determined that the license does not represent functional IP, revenue is recognized over time using an appropriate method of measuring progress.</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Services </w:t>
      </w:r>
      <w:r>
        <w:rPr>
          <w:rFonts w:ascii="Times New Roman" w:cs="Times New Roman" w:eastAsia="Times New Roman" w:hAnsi="Times New Roman"/>
          <w:sz w:val="18"/>
          <w:szCs w:val="18"/>
          <w:color w:val="auto"/>
        </w:rPr>
        <w:t>— The obligations under the Company’s collaboration agreements may include research and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to be performed by the Company to benefit the collaboration partner. For performance obligations that include research and development services, the Company generally recognizes revenue allocated to such performance obligations based on an appropriate measure of progress. The Company utilizes judgment to determine the appropriate method of measuring progress for purposes of recognizing revenue, which is generally an input measure such as costs incurred. The Company evaluates the measure of progress each reporting period and, if necessary, adjusts the measure of performance and related revenue recognition. The measure of progress, and thereby periods of which revenue should be recognized, are subject to estimates by management and may change over the course of the contract. Reimbursements from the partner that are the result of a collaborative relationship with the partner, instead of a customer relationship, such as co-development activities, are recorded as a reduction to research and development expense. No collaborative arrangements existed that would result in such reimbursements for the periods presented.</w:t>
      </w:r>
    </w:p>
    <w:p>
      <w:pPr>
        <w:spacing w:after="0" w:line="18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Customer Options </w:t>
      </w:r>
      <w:r>
        <w:rPr>
          <w:rFonts w:ascii="Times New Roman" w:cs="Times New Roman" w:eastAsia="Times New Roman" w:hAnsi="Times New Roman"/>
          <w:sz w:val="18"/>
          <w:szCs w:val="18"/>
          <w:color w:val="auto"/>
        </w:rPr>
        <w:t>— The Company’s arrangements may provide a collaborator with the right to acquire additional goods or services in the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these agreements, fees may be due to the Company (i) upon the exercise of the customer option or (ii) in equal installment payments over an agreed upon period. If an arrangement is determined to contain customer options that allow the customer to acquire additional goods or services, the additional goods and services underlying the customer options are evaluated in order to determine if these additional goods or services are distinct from those included as a performance obligation at the outset of the arrangement. If the additional services are not determined to be distinct, the variable consideration pertaining to the customer option is added to the initial transaction price at the time in which the option exercise becomes probable, so long as a potential for reversal of cumulative revenue recognized at the contract level is not significant. Any such adjustments to the transaction price are recorded on a cumulative catch-up basis, which would affect revenues and earnings in the period of adjustment. If the additional services are distinct,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3" w:name="page114"/>
    <w:bookmarkEnd w:id="113"/>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 At the inception of an arrangement that includes development milestone payments, the Company evaluates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milestones are considered likely of being achieved and estimates the amount to be included in the transaction price using the most likely amount method. If it is probable that a significant reversal of cumulative revenue recognized would not occur, the associated milestone value is included in the transaction price. Milestone payments that are not within the control of the Company,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w:t>
      </w:r>
    </w:p>
    <w:p>
      <w:pPr>
        <w:spacing w:after="0" w:line="19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 For arrangements that include sales-based royalties, including milestone payments based on a level of sales, where the license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licensing agreements.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drug discovery efforts and the development of our product candidates. These expenses include salaries, employee benefits, and stock-based compensation expense for our research and development personnel, materials, supplies, depreciation on and maintenance of research equipment, the cost of services provided by outside CROs and consultants to conduct research and development activities including costs of clinical trials and manufacturing, and the allocable portions of facility costs, such as rent, utilities, and general support services. All costs incurred to fulfill the Company’s obligations under the collaboration with Gilead are classified as research and development expenses. All costs associated with research and development are expensed as incurred.</w:t>
      </w:r>
    </w:p>
    <w:p>
      <w:pPr>
        <w:spacing w:after="0" w:line="187"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Management estimates the Company’s accrued research and development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are deferred and recognized as expense in the period that the related goods are consumed or services are performed.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22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measures the cost of employee services received in exchange for stock-based awards based on the grant-date fair value of the awards. The Company calculates the fair value of restricted stock awards based on the grant date fair value of the underlying common stock. The Company recognizes stock-based compensation expense on a straight-line basis over the requisite service period of the awards for service-based awards, which is generally the vesting period. The Company recognizes stock-based compensation for performance-based awards when the underlying performance conditions are considered probable of occurrence and recognizes the cumulative effect of current and prior period changes in the period of change.</w:t>
      </w:r>
    </w:p>
    <w:p>
      <w:pPr>
        <w:spacing w:after="0" w:line="183"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common stock underlying stock-based awards is based on an estimate at each grant date using the market price of our common stock and each of the assumptions discussed below.</w:t>
      </w:r>
    </w:p>
    <w:p>
      <w:pPr>
        <w:spacing w:after="0" w:line="160" w:lineRule="exact"/>
        <w:rPr>
          <w:sz w:val="20"/>
          <w:szCs w:val="20"/>
          <w:color w:val="auto"/>
        </w:rPr>
      </w:pPr>
    </w:p>
    <w:p>
      <w:pPr>
        <w:ind w:right="4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of the stock options is estimated using the “simplified method,” as prescribed in SEC’s Staff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Bulletin (SAB) No. 107, as the Company has limited historical information from which to develop</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114" w:name="page115"/>
    <w:bookmarkEnd w:id="114"/>
    <w:p>
      <w:pPr>
        <w:ind w:right="20"/>
        <w:spacing w:after="0" w:line="282" w:lineRule="auto"/>
        <w:rPr>
          <w:sz w:val="20"/>
          <w:szCs w:val="20"/>
          <w:color w:val="auto"/>
        </w:rPr>
      </w:pPr>
      <w:r>
        <w:rPr>
          <w:rFonts w:ascii="Times New Roman" w:cs="Times New Roman" w:eastAsia="Times New Roman" w:hAnsi="Times New Roman"/>
          <w:sz w:val="18"/>
          <w:szCs w:val="18"/>
          <w:color w:val="auto"/>
        </w:rPr>
        <w:t>reasonable expectations about future exercise patterns and post-vesting employment termination behavior for its stock option grants. The simplified method is the midpoint between the vesting period and the contractual term of the option.</w:t>
      </w:r>
    </w:p>
    <w:p>
      <w:pPr>
        <w:spacing w:after="0" w:line="160"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Since there is limited historical data for the Company’s common stock and limited company-specific historical volatility,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has determined the share price volatility for options granted based on an analysis of the volatility used by a peer group of publicly traded companies. In evaluating similarity, the Company considers factors such as industry, stage of life cycle and size.</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rate is based on the U.S. Treasury yield curve commensurate with the expected life of the option.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Dividend Rate </w:t>
      </w:r>
      <w:r>
        <w:rPr>
          <w:rFonts w:ascii="Times New Roman" w:cs="Times New Roman" w:eastAsia="Times New Roman" w:hAnsi="Times New Roman"/>
          <w:sz w:val="18"/>
          <w:szCs w:val="18"/>
          <w:color w:val="auto"/>
        </w:rPr>
        <w:t>— The expected dividend is assumed to be zero as the Company has never paid dividends and has no current plans to do so.</w:t>
      </w:r>
    </w:p>
    <w:p>
      <w:pPr>
        <w:spacing w:after="0" w:line="22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assumptions used in estimating the fair value of stock-based awards represent management’s estimate and involve inherent uncertainties and the application of management’s judgment. As a result, if factors change and management uses different assumptions, stock-based compensation expense could be materially different for future awards.</w:t>
      </w:r>
    </w:p>
    <w:p>
      <w:pPr>
        <w:spacing w:after="0" w:line="176"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Stock-based compensation is classified in the accompanying consolidated statements of operations and comprehensive loss based on the function to which the related services are provided. Forfeitures are accounted for as they occur. Any consideration paid by employees on exercising stock options and the corresponding portion previously credited to additional paid-in capital are credited to share capital.</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A valuation allowance is established when it is more likely than not that all or some portion of the deferred tax assets will not be realized through generating sufficient future taxable income.</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assesses all material positions taken in any income tax return, including all significant uncertain positions, in all tax years that are still subject to assessment or challenge by relevant taxing authorities.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financial statements from such a tax position should be measured based on the largest benefit having a more likely than not likelihood of being realized upon ultimate settlement with the tax authority. The recognition and measurement of tax benefits requires significant judgments that are subject to change as new information becomes available.</w:t>
      </w:r>
    </w:p>
    <w:p>
      <w:pPr>
        <w:spacing w:after="0" w:line="187"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Penalties and interest expense related to income taxes are included as components of income tax expense and interest expense, respectively, as necessary.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Comprehensive income (loss) includes net income (loss) as well as other changes in stockholders’ equity that result from transactions and economic events other than those with stockholders. The Company’s only element of other comprehensive income (loss) for the years ended December 31, 2024, 2023, and 2022 was unrealized gains (losses) on investments in marketable securities.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net loss by the weighted-average number of shares of common shares outstanding during each reporting period. The weighted-average number of shares of common stock outstanding used in the basic net loss per share calculation does not include unvested restricted stock awards as these instruments are considered contingently issuable shares until they vest. Diluted net loss per share attributable to</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5" w:name="page116"/>
    <w:bookmarkEnd w:id="115"/>
    <w:p>
      <w:pPr>
        <w:spacing w:after="0" w:line="256" w:lineRule="auto"/>
        <w:rPr>
          <w:sz w:val="20"/>
          <w:szCs w:val="20"/>
          <w:color w:val="auto"/>
        </w:rPr>
      </w:pPr>
      <w:r>
        <w:rPr>
          <w:rFonts w:ascii="Times New Roman" w:cs="Times New Roman" w:eastAsia="Times New Roman" w:hAnsi="Times New Roman"/>
          <w:sz w:val="18"/>
          <w:szCs w:val="18"/>
          <w:color w:val="auto"/>
        </w:rPr>
        <w:t>common stockholders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unvested restricted stock entitles the holder to participate in dividends and earnings of the Company, and, if the Company were to recognize net income, it would apply the two-class method to calculate earnings per share. The two-class method is not applicable during periods with a net loss, as the holders of the unvested restricted stock have no obligation to fund losses.</w:t>
      </w:r>
    </w:p>
    <w:p>
      <w:pPr>
        <w:spacing w:after="0" w:line="187"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The two-class method of computing net loss per share would be applicable in a reporting period that resulted in a net income position,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8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Issued and unexercised pre-funded warrants are classified as a component of permanent equity in the Company's consolidated balance sheet as they are freestanding financial instruments that are immediately exercisable, do not embody an obligation for the Company to repurchase its own shares and permit the holders to receive a fixed number of shares of common stock upon exercise. All shares underlying pre-funded warrants are included in the weighted-average number of shares of common stock used to calculate basic and diluted net loss per common share because the shares may be issued for little or no consideration, are fully vested and are exercisable after the original issuance date of the pre-funded warrants.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before the financial statements are issued to provide</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additional evidence relative to certain estimates or to identify matters that require additional disclosure. Subsequent events have been evaluated as required.</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the Company adopts as of the specified effective date. Unless otherwise discussed below, the Company does not believe that the adoption of recently issued standards have or may have a material impact on its consolidated financial statements and disclosures.</w:t>
      </w:r>
    </w:p>
    <w:p>
      <w:pPr>
        <w:spacing w:after="0" w:line="174"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standard is intended to improve financial reporting by requiring disclosure of incremental segment information on an annual and interim basis for all public entities to enable investors to develop more decision-useful financial analyses. The standard is effective for fiscal years beginning after December 15, 2023, and interim periods within fiscal years beginning after December 15, 2024. Upon adoption, the standard should be applied retrospectively to all prior periods presented in the financial statements. The Company adopted the new standard on January 1, 2024 and applied the disclosure requirements presented in the financial statements.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standard is intended to enhance the existing income tax disclosures to provide information to better assess how an entity’s operations and related tax risks and tax planning and operational opportunities affect its tax rate and prospects for future cash flows. The standard is effective for annual periods beginning after December 15, 2024. Upon adoption, the standard should be applied on a prospective basis, although retrospective application is permitted. Early adoption is permitted. The Company is evaluating the potential impact of this adoption on the consolidated financial statements and related disclosures.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3. Collaboration Agreements</w:t>
      </w:r>
    </w:p>
    <w:p>
      <w:pPr>
        <w:spacing w:after="0" w:line="22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October 2018, the Company entered into a Research Collaboration and License Agreement (the 2018 Gilead Agreement) with Gilead Sciences, Inc. (Gilead). Pursuant to the terms of the 2018 Gilead Agreement, the Company received an initial upfront payment of $50.0 million. Gilead had the option to obtain exclusive, worldwide licenses to develop and commercialize up to five validated programs (Gilead Program License).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August 2020, the Company and Gilead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w:t>
      </w:r>
    </w:p>
    <w:p>
      <w:pPr>
        <w:spacing w:after="0" w:line="68" w:lineRule="exact"/>
        <w:rPr>
          <w:sz w:val="20"/>
          <w:szCs w:val="20"/>
          <w:color w:val="auto"/>
        </w:rPr>
      </w:pPr>
    </w:p>
    <w:p>
      <w:pPr>
        <w:ind w:left="1140" w:right="280" w:hanging="383"/>
        <w:spacing w:after="0" w:line="282"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upfront, non-refundable consideration of $125.0 million from Gilead upon execution of the Gilead Agreement in 2020;</w:t>
      </w:r>
    </w:p>
    <w:p>
      <w:pPr>
        <w:spacing w:after="0" w:line="53" w:lineRule="exact"/>
        <w:rPr>
          <w:rFonts w:ascii="Times New Roman" w:cs="Times New Roman" w:eastAsia="Times New Roman" w:hAnsi="Times New Roman"/>
          <w:sz w:val="18"/>
          <w:szCs w:val="18"/>
          <w:color w:val="auto"/>
        </w:rPr>
      </w:pPr>
    </w:p>
    <w:p>
      <w:pPr>
        <w:ind w:left="1140" w:right="100" w:hanging="383"/>
        <w:spacing w:after="0" w:line="282"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2018 Gilead Agreement ended on the date the Gilead Agreement was executed. The Gilead Agreement has a research term of seven years;</w:t>
      </w:r>
    </w:p>
    <w:p>
      <w:pPr>
        <w:spacing w:after="0" w:line="53" w:lineRule="exact"/>
        <w:rPr>
          <w:rFonts w:ascii="Times New Roman" w:cs="Times New Roman" w:eastAsia="Times New Roman" w:hAnsi="Times New Roman"/>
          <w:sz w:val="18"/>
          <w:szCs w:val="18"/>
          <w:color w:val="auto"/>
        </w:rPr>
      </w:pPr>
    </w:p>
    <w:p>
      <w:pPr>
        <w:ind w:left="1140" w:right="660" w:hanging="383"/>
        <w:spacing w:after="0" w:line="282"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expanded its option to license up to 15 programs for which Gilead may obtain exclusive, worldwide licenses to develop and commercialize therapies, subject to applicable license fees;</w:t>
      </w:r>
    </w:p>
    <w:p>
      <w:pPr>
        <w:spacing w:after="0" w:line="53" w:lineRule="exact"/>
        <w:rPr>
          <w:rFonts w:ascii="Times New Roman" w:cs="Times New Roman" w:eastAsia="Times New Roman" w:hAnsi="Times New Roman"/>
          <w:sz w:val="18"/>
          <w:szCs w:val="18"/>
          <w:color w:val="auto"/>
        </w:rPr>
      </w:pPr>
    </w:p>
    <w:p>
      <w:pPr>
        <w:jc w:val="both"/>
        <w:ind w:left="1140" w:right="480" w:hanging="383"/>
        <w:spacing w:after="0" w:line="266"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exercising its option to license a program, Gilead may “extend” such program, in which case Gilead will pay research option-extension fees and the Company will continue to collaborate with Gilead to discover and develop programs, potentially through early clinical development;</w:t>
      </w:r>
    </w:p>
    <w:p>
      <w:pPr>
        <w:spacing w:after="0" w:line="67" w:lineRule="exact"/>
        <w:rPr>
          <w:rFonts w:ascii="Times New Roman" w:cs="Times New Roman" w:eastAsia="Times New Roman" w:hAnsi="Times New Roman"/>
          <w:sz w:val="18"/>
          <w:szCs w:val="18"/>
          <w:color w:val="auto"/>
        </w:rPr>
      </w:pPr>
    </w:p>
    <w:p>
      <w:pPr>
        <w:ind w:left="1140" w:hanging="383"/>
        <w:spacing w:after="0" w:line="261"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has the option to “reserve” a target during which Gilead may: (i) license the target, (ii) “extend” the target, or (iii) decline the target, during the designated reserve target period. If, during the reserve target period Tango elects to work on the reserved target, Tango will retain full rights to the target program and Gilead receives a right of first negotiation in connection with any future partnering or licensing of such target by Tango, if any; and</w:t>
      </w:r>
    </w:p>
    <w:p>
      <w:pPr>
        <w:spacing w:after="0" w:line="71"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up to five programs licensed by Gilead, the Company has the option to co-develop and co-promote the lead product in the U.S., subject to certain exceptions, and is eligible to receive tiered royalties in the first decile on ex-U.S. sales.</w:t>
      </w:r>
    </w:p>
    <w:p>
      <w:pPr>
        <w:spacing w:after="0" w:line="16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is eligible to receive up to $410.0 million per program in license, research option-extension, and clinical, regulatory, and commercial milestones and royalties on future sales of commercialized products, if any.</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August 2020, Gilead also made an equity investment of $20.0 million into the Company as a participant in the Company’s Series B-1 preferred stock offering. At the time of the original investment, including as of the December 31, 2024 balance sheet date, and based on current ownership of common stock, Gilead is not considered to be a related party to the Company.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Gilead Collaboration</w:t>
      </w:r>
    </w:p>
    <w:p>
      <w:pPr>
        <w:spacing w:after="0" w:line="22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Gilead Agreement is accounted for under ASC 606.The Company identified a single combined performance obligation under the Gilead Agreement consisting of the research services and continued participation on the joint steering committee during the research term. For research option-extension fees, the Company determined that the additional goods and services relating to the continued research services were not distinct from the early-stage research services already promised to Gilead under the on-going research plan. Consideration pertaining to each of the research option-extensions is paid to the Company in equal quarterly installment payments over an agreed upon payment schedule. The research option-extension consideration are added to the transaction price under the Gilead Agreement. License fees are recognized as revenue immediately as the Company has no continued involvement in the advancement of the program, Gilead can benefit from the license on its own, and the license is separately identifiable from the research services.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Gilead Revenue Recognized</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total transaction price allocated to the combined performance obligation under the Gilead Agreement was $199.0 million at December 31, 2024. The total transaction price was comprised of the $50.0 million upfront payment pursuant to the 2018 Gilead Agreement, the $125.0 million upfront payment pursuant to the Gilead Agreement, and $24.0 million payment pursuant to the research option-extension fee in December 2020 and in September 2021. During the years ended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7" w:name="page118"/>
    <w:bookmarkEnd w:id="117"/>
    <w:p>
      <w:pPr>
        <w:ind w:right="520"/>
        <w:spacing w:after="0" w:line="282" w:lineRule="auto"/>
        <w:rPr>
          <w:sz w:val="20"/>
          <w:szCs w:val="20"/>
          <w:color w:val="auto"/>
        </w:rPr>
      </w:pPr>
      <w:r>
        <w:rPr>
          <w:rFonts w:ascii="Times New Roman" w:cs="Times New Roman" w:eastAsia="Times New Roman" w:hAnsi="Times New Roman"/>
          <w:sz w:val="18"/>
          <w:szCs w:val="18"/>
          <w:color w:val="auto"/>
        </w:rPr>
        <w:t>December 31, 2024, 2023, and 2022 the Company recognized $30.0 million, $31.5 million, and $24.9 million, respectively, of collaboration revenue associated with the Gilead agreements based on performance completed during each period.</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December 31, 2024 and 2023, the Company had short-term deferred revenue of $17.6 million and $25.7 million, respectively, and long-term deferred revenue of $44.8 million and $66.7 million, respectively, related to the Gilead collaboration. The remaining long-term deferred revenue is expected to be recognized proportionally to the completed obligations over an expected remaining contractual term of approximately 2.6 years.</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June 2023, Gilead licensed a drug discovery program for a $5.0 million license fee. In June 2024, Gilead licensed a drug discovery program for a $12.0 million license fee. These license fees were recognized as revenue in the second quarter of 2024 and 2023, respectively, as the Company has no continued involvement in the advancement of the program, Gilead can benefit from the license on its own, and the license is separately identifiable from the research services.</w:t>
      </w:r>
    </w:p>
    <w:p>
      <w:pPr>
        <w:spacing w:after="0" w:line="180"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Amounts due to the Company that have not yet been received are recorded as accounts receivable and amounts received that have not yet been recognized as revenue are recorded as deferred revenue on the Company’s consolidated balance sheets.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Costs incurred pursuant to the Gilead Agreement and the 2018 Gilead Agreement are recorded as research and development expense.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7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7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gridSpan w:val="2"/>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5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0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14,915</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center"/>
              <w:ind w:right="78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14,915</w:t>
            </w: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10,112</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10,112</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176,374</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176,374</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12,013</w:t>
            </w:r>
          </w:p>
        </w:tc>
        <w:tc>
          <w:tcPr>
            <w:tcW w:w="100" w:type="dxa"/>
            <w:vAlign w:val="bottom"/>
          </w:tcPr>
          <w:p>
            <w:pPr>
              <w:spacing w:after="0"/>
              <w:rPr>
                <w:sz w:val="18"/>
                <w:szCs w:val="18"/>
                <w:color w:val="auto"/>
              </w:rPr>
            </w:pPr>
          </w:p>
        </w:tc>
      </w:tr>
      <w:tr>
        <w:trPr>
          <w:trHeight w:val="250"/>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14,915</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198,499</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gridSpan w:val="2"/>
            <w:shd w:val="clear" w:color="auto" w:fill="CFF0FC"/>
          </w:tcPr>
          <w:p>
            <w:pPr>
              <w:jc w:val="center"/>
              <w:ind w:right="782"/>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213,414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47"/>
        </w:trPr>
        <w:tc>
          <w:tcPr>
            <w:tcW w:w="5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5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gridSpan w:val="2"/>
          </w:tcPr>
          <w:p>
            <w:pPr>
              <w:spacing w:after="0"/>
              <w:rPr>
                <w:sz w:val="12"/>
                <w:szCs w:val="12"/>
                <w:color w:val="auto"/>
              </w:rPr>
            </w:pPr>
          </w:p>
        </w:tc>
      </w:tr>
      <w:tr>
        <w:trPr>
          <w:trHeight w:val="142"/>
        </w:trPr>
        <w:tc>
          <w:tcPr>
            <w:tcW w:w="5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80" w:type="dxa"/>
            <w:vAlign w:val="bottom"/>
            <w:gridSpan w:val="3"/>
          </w:tcPr>
          <w:p>
            <w:pPr>
              <w:jc w:val="center"/>
              <w:ind w:right="542"/>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center"/>
              <w:ind w:right="70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194,763</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194,763</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75,737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275,210</w:t>
            </w: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center"/>
              <w:ind w:right="742"/>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289,571</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-1567815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-1550670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-1567815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-1550670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-1567815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-1550670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years ended December 31, 2024 and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 values its marketable securities using independent pricing services which normally derive security prices from recently reported trades for identical or similar securities, making adjustments based on significant observable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8" w:name="page119"/>
    <w:bookmarkEnd w:id="118"/>
    <w:p>
      <w:pPr>
        <w:ind w:right="140"/>
        <w:spacing w:after="0" w:line="282" w:lineRule="auto"/>
        <w:rPr>
          <w:sz w:val="20"/>
          <w:szCs w:val="20"/>
          <w:color w:val="auto"/>
        </w:rPr>
      </w:pPr>
      <w:r>
        <w:rPr>
          <w:rFonts w:ascii="Times New Roman" w:cs="Times New Roman" w:eastAsia="Times New Roman" w:hAnsi="Times New Roman"/>
          <w:sz w:val="18"/>
          <w:szCs w:val="18"/>
          <w:color w:val="auto"/>
        </w:rPr>
        <w:t>transactions. At each balance sheet date, observable market inputs may include trade information, broker or dealer quotes, bids, offers or a combination of these data sources.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marketable debt securities, classified as available-for-sale:</w:t>
      </w:r>
    </w:p>
    <w:p>
      <w:pPr>
        <w:spacing w:after="0" w:line="151" w:lineRule="exact"/>
        <w:rPr>
          <w:sz w:val="20"/>
          <w:szCs w:val="20"/>
          <w:color w:val="auto"/>
        </w:rPr>
      </w:pPr>
    </w:p>
    <w:p>
      <w:pPr>
        <w:jc w:val="center"/>
        <w:ind w:left="476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jc w:val="center"/>
        <w:ind w:left="4760"/>
        <w:spacing w:after="0"/>
        <w:rPr>
          <w:sz w:val="20"/>
          <w:szCs w:val="20"/>
          <w:color w:val="auto"/>
        </w:rPr>
      </w:pPr>
      <w:r>
        <w:rPr>
          <w:rFonts w:ascii="Times New Roman" w:cs="Times New Roman" w:eastAsia="Times New Roman" w:hAnsi="Times New Roman"/>
          <w:sz w:val="14"/>
          <w:szCs w:val="14"/>
          <w:b w:val="1"/>
          <w:bCs w:val="1"/>
          <w:color w:val="auto"/>
        </w:rPr>
        <w:t>as of December 31, 2024</w:t>
      </w:r>
    </w:p>
    <w:tbl>
      <w:tblPr>
        <w:tblLayout w:type="fixed"/>
        <w:tblInd w:w="0" w:type="dxa"/>
        <w:tblCellMar>
          <w:top w:w="0" w:type="dxa"/>
          <w:left w:w="0" w:type="dxa"/>
          <w:bottom w:w="0" w:type="dxa"/>
          <w:right w:w="0" w:type="dxa"/>
        </w:tblCellMar>
      </w:tblPr>
      <w:tr>
        <w:trPr>
          <w:trHeight w:val="117"/>
        </w:trPr>
        <w:tc>
          <w:tcPr>
            <w:tcW w:w="49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left="245"/>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3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left="265"/>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3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center"/>
              <w:ind w:left="24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center"/>
              <w:ind w:left="26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1040" w:type="dxa"/>
            <w:vAlign w:val="bottom"/>
            <w:tcBorders>
              <w:bottom w:val="single" w:sz="8" w:color="auto"/>
            </w:tcBorders>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Borders>
              <w:bottom w:val="single" w:sz="8" w:color="auto"/>
            </w:tcBorders>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Loss</w:t>
            </w:r>
          </w:p>
        </w:tc>
        <w:tc>
          <w:tcPr>
            <w:tcW w:w="3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7"/>
              </w:rPr>
              <w:t>(in</w:t>
            </w:r>
          </w:p>
        </w:tc>
        <w:tc>
          <w:tcPr>
            <w:tcW w:w="1280" w:type="dxa"/>
            <w:vAlign w:val="bottom"/>
            <w:gridSpan w:val="2"/>
          </w:tcPr>
          <w:p>
            <w:pPr>
              <w:jc w:val="right"/>
              <w:ind w:right="625"/>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176,049</w:t>
            </w:r>
          </w:p>
        </w:tc>
        <w:tc>
          <w:tcPr>
            <w:tcW w:w="1300" w:type="dxa"/>
            <w:vAlign w:val="bottom"/>
            <w:gridSpan w:val="2"/>
          </w:tcPr>
          <w:p>
            <w:pPr>
              <w:jc w:val="right"/>
              <w:ind w:right="86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80" w:type="dxa"/>
            <w:vAlign w:val="bottom"/>
            <w:gridSpan w:val="2"/>
          </w:tcPr>
          <w:p>
            <w:pPr>
              <w:jc w:val="right"/>
              <w:ind w:right="84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12,002</w:t>
            </w:r>
          </w:p>
        </w:tc>
        <w:tc>
          <w:tcPr>
            <w:tcW w:w="2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188,051</w:t>
            </w:r>
          </w:p>
        </w:tc>
        <w:tc>
          <w:tcPr>
            <w:tcW w:w="260" w:type="dxa"/>
            <w:vAlign w:val="bottom"/>
          </w:tcPr>
          <w:p>
            <w:pPr>
              <w:spacing w:after="0"/>
              <w:rPr>
                <w:sz w:val="18"/>
                <w:szCs w:val="18"/>
                <w:color w:val="auto"/>
              </w:rPr>
            </w:pPr>
          </w:p>
        </w:tc>
        <w:tc>
          <w:tcPr>
            <w:tcW w:w="1040" w:type="dxa"/>
            <w:vAlign w:val="bottom"/>
          </w:tcPr>
          <w:p>
            <w:pPr>
              <w:jc w:val="right"/>
              <w:ind w:right="86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60" w:type="dxa"/>
            <w:vAlign w:val="bottom"/>
          </w:tcPr>
          <w:p>
            <w:pPr>
              <w:spacing w:after="0"/>
              <w:rPr>
                <w:sz w:val="18"/>
                <w:szCs w:val="18"/>
                <w:color w:val="auto"/>
              </w:rPr>
            </w:pPr>
          </w:p>
        </w:tc>
        <w:tc>
          <w:tcPr>
            <w:tcW w:w="1020" w:type="dxa"/>
            <w:vAlign w:val="bottom"/>
          </w:tcPr>
          <w:p>
            <w:pPr>
              <w:jc w:val="right"/>
              <w:ind w:right="84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4"/>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0"/>
                <w:szCs w:val="10"/>
                <w:color w:val="auto"/>
              </w:rPr>
            </w:pPr>
          </w:p>
        </w:tc>
        <w:tc>
          <w:tcPr>
            <w:tcW w:w="1040" w:type="dxa"/>
            <w:vAlign w:val="bottom"/>
          </w:tcPr>
          <w:p>
            <w:pPr>
              <w:jc w:val="center"/>
              <w:ind w:left="24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jc w:val="center"/>
              <w:ind w:left="26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center"/>
              <w:ind w:left="24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center"/>
              <w:ind w:left="26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1040" w:type="dxa"/>
            <w:vAlign w:val="bottom"/>
            <w:tcBorders>
              <w:bottom w:val="single" w:sz="8" w:color="auto"/>
            </w:tcBorders>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Borders>
              <w:bottom w:val="single" w:sz="8" w:color="auto"/>
            </w:tcBorders>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Loss</w:t>
            </w:r>
          </w:p>
        </w:tc>
        <w:tc>
          <w:tcPr>
            <w:tcW w:w="3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7"/>
              </w:rPr>
              <w:t>(in</w:t>
            </w:r>
          </w:p>
        </w:tc>
        <w:tc>
          <w:tcPr>
            <w:tcW w:w="1280" w:type="dxa"/>
            <w:vAlign w:val="bottom"/>
            <w:gridSpan w:val="2"/>
          </w:tcPr>
          <w:p>
            <w:pPr>
              <w:jc w:val="right"/>
              <w:ind w:right="625"/>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194,461</w:t>
            </w:r>
          </w:p>
        </w:tc>
        <w:tc>
          <w:tcPr>
            <w:tcW w:w="1300" w:type="dxa"/>
            <w:vAlign w:val="bottom"/>
            <w:gridSpan w:val="2"/>
          </w:tcPr>
          <w:p>
            <w:pPr>
              <w:jc w:val="right"/>
              <w:ind w:right="86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80" w:type="dxa"/>
            <w:vAlign w:val="bottom"/>
            <w:gridSpan w:val="2"/>
          </w:tcPr>
          <w:p>
            <w:pPr>
              <w:jc w:val="right"/>
              <w:ind w:right="84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75,853</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1"/>
              </w:rPr>
              <w:t>(139 )</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270,314</w:t>
            </w:r>
          </w:p>
        </w:tc>
        <w:tc>
          <w:tcPr>
            <w:tcW w:w="260" w:type="dxa"/>
            <w:vAlign w:val="bottom"/>
          </w:tcPr>
          <w:p>
            <w:pPr>
              <w:spacing w:after="0"/>
              <w:rPr>
                <w:sz w:val="18"/>
                <w:szCs w:val="18"/>
                <w:color w:val="auto"/>
              </w:rPr>
            </w:pPr>
          </w:p>
        </w:tc>
        <w:tc>
          <w:tcPr>
            <w:tcW w:w="1040" w:type="dxa"/>
            <w:vAlign w:val="bottom"/>
          </w:tcPr>
          <w:p>
            <w:pPr>
              <w:jc w:val="right"/>
              <w:ind w:right="86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60" w:type="dxa"/>
            <w:vAlign w:val="bottom"/>
          </w:tcPr>
          <w:p>
            <w:pPr>
              <w:spacing w:after="0"/>
              <w:rPr>
                <w:sz w:val="18"/>
                <w:szCs w:val="18"/>
                <w:color w:val="auto"/>
              </w:rPr>
            </w:pPr>
          </w:p>
        </w:tc>
        <w:tc>
          <w:tcPr>
            <w:tcW w:w="1020" w:type="dxa"/>
            <w:vAlign w:val="bottom"/>
          </w:tcPr>
          <w:p>
            <w:pPr>
              <w:jc w:val="right"/>
              <w:ind w:right="84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1"/>
              </w:rPr>
              <w:t>(195 )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-1473835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-1473835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-1473835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-1473835</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-170815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-170815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fair value of marketable debt securities with a contractual maturity date greater than one year was $24.4 million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and gross unrealized losses aggregated by category and the length of time that individual securities have been in an unrealized loss position: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25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5"/>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Greater than twelve months</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500" w:type="dxa"/>
            <w:vAlign w:val="bottom"/>
          </w:tcPr>
          <w:p>
            <w:pPr>
              <w:spacing w:after="0"/>
              <w:rPr>
                <w:sz w:val="19"/>
                <w:szCs w:val="19"/>
                <w:color w:val="auto"/>
              </w:rPr>
            </w:pPr>
          </w:p>
        </w:tc>
        <w:tc>
          <w:tcPr>
            <w:tcW w:w="118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19"/>
                <w:szCs w:val="19"/>
                <w:color w:val="auto"/>
              </w:rPr>
            </w:pPr>
          </w:p>
        </w:tc>
        <w:tc>
          <w:tcPr>
            <w:tcW w:w="260" w:type="dxa"/>
            <w:vAlign w:val="bottom"/>
            <w:tcBorders>
              <w:bottom w:val="single" w:sz="8" w:color="auto"/>
            </w:tcBorders>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4"/>
              </w:rPr>
              <w:t>Unrealized loss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19"/>
                <w:szCs w:val="19"/>
                <w:color w:val="auto"/>
              </w:rPr>
            </w:pPr>
          </w:p>
        </w:tc>
      </w:tr>
      <w:tr>
        <w:trPr>
          <w:trHeight w:val="223"/>
        </w:trPr>
        <w:tc>
          <w:tcPr>
            <w:tcW w:w="25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5"/>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2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44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6"/>
              </w:rPr>
              <w:t>46,016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2"/>
              </w:rPr>
              <w:t>(39 )</w:t>
            </w:r>
          </w:p>
        </w:tc>
        <w:tc>
          <w:tcPr>
            <w:tcW w:w="16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46,016</w:t>
            </w:r>
          </w:p>
        </w:tc>
        <w:tc>
          <w:tcPr>
            <w:tcW w:w="80" w:type="dxa"/>
            <w:vAlign w:val="bottom"/>
            <w:shd w:val="clear" w:color="auto" w:fill="CFF0FC"/>
          </w:tcPr>
          <w:p>
            <w:pPr>
              <w:spacing w:after="0"/>
              <w:rPr>
                <w:sz w:val="18"/>
                <w:szCs w:val="18"/>
                <w:color w:val="auto"/>
              </w:rPr>
            </w:pPr>
          </w:p>
        </w:tc>
        <w:tc>
          <w:tcPr>
            <w:tcW w:w="760" w:type="dxa"/>
            <w:vAlign w:val="bottom"/>
            <w:tcBorders>
              <w:left w:val="single" w:sz="8" w:color="CFF0FC"/>
            </w:tcBorders>
            <w:gridSpan w:val="3"/>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r>
      <w:tr>
        <w:trPr>
          <w:trHeight w:val="20"/>
        </w:trPr>
        <w:tc>
          <w:tcPr>
            <w:tcW w:w="25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tcBorders>
              <w:left w:val="single" w:sz="8" w:color="CFF0FC"/>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2500" w:type="dxa"/>
            <w:vAlign w:val="bottom"/>
          </w:tcPr>
          <w:p>
            <w:pPr>
              <w:spacing w:after="0"/>
              <w:rPr>
                <w:sz w:val="18"/>
                <w:szCs w:val="18"/>
                <w:color w:val="auto"/>
              </w:rPr>
            </w:pP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46,016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2"/>
              </w:rPr>
              <w:t>(39 )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46,016</w:t>
            </w:r>
          </w:p>
        </w:tc>
        <w:tc>
          <w:tcPr>
            <w:tcW w:w="80" w:type="dxa"/>
            <w:vAlign w:val="bottom"/>
          </w:tcPr>
          <w:p>
            <w:pPr>
              <w:spacing w:after="0"/>
              <w:rPr>
                <w:sz w:val="18"/>
                <w:szCs w:val="18"/>
                <w:color w:val="auto"/>
              </w:rPr>
            </w:pPr>
          </w:p>
        </w:tc>
        <w:tc>
          <w:tcPr>
            <w:tcW w:w="760" w:type="dxa"/>
            <w:vAlign w:val="bottom"/>
            <w:gridSpan w:val="3"/>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r>
      <w:tr>
        <w:trPr>
          <w:trHeight w:val="20"/>
        </w:trPr>
        <w:tc>
          <w:tcPr>
            <w:tcW w:w="2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2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5"/>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Greater than twelve months</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19"/>
                <w:szCs w:val="19"/>
                <w:color w:val="auto"/>
              </w:rPr>
            </w:pPr>
          </w:p>
        </w:tc>
      </w:tr>
      <w:tr>
        <w:trPr>
          <w:trHeight w:val="223"/>
        </w:trPr>
        <w:tc>
          <w:tcPr>
            <w:tcW w:w="2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5"/>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18,662</w:t>
            </w:r>
          </w:p>
        </w:tc>
        <w:tc>
          <w:tcPr>
            <w:tcW w:w="120" w:type="dxa"/>
            <w:vAlign w:val="bottom"/>
            <w:tcBorders>
              <w:left w:val="single" w:sz="8" w:color="CFF0FC"/>
            </w:tcBorders>
            <w:shd w:val="clear" w:color="auto" w:fill="CFF0FC"/>
          </w:tcPr>
          <w:p>
            <w:pPr>
              <w:spacing w:after="0"/>
              <w:rPr>
                <w:sz w:val="18"/>
                <w:szCs w:val="18"/>
                <w:color w:val="auto"/>
              </w:rPr>
            </w:pPr>
          </w:p>
        </w:tc>
        <w:tc>
          <w:tcPr>
            <w:tcW w:w="800" w:type="dxa"/>
            <w:vAlign w:val="bottom"/>
            <w:gridSpan w:val="2"/>
            <w:shd w:val="clear" w:color="auto" w:fill="CFF0FC"/>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FF0FC"/>
            </w:tcBorders>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14,948</w:t>
            </w:r>
          </w:p>
        </w:tc>
        <w:tc>
          <w:tcPr>
            <w:tcW w:w="12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76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(44 )</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33,610</w:t>
            </w:r>
          </w:p>
        </w:tc>
        <w:tc>
          <w:tcPr>
            <w:tcW w:w="760" w:type="dxa"/>
            <w:vAlign w:val="bottom"/>
            <w:tcBorders>
              <w:left w:val="single" w:sz="8" w:color="CFF0FC"/>
            </w:tcBorders>
            <w:gridSpan w:val="3"/>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(56 )</w:t>
            </w:r>
          </w:p>
        </w:tc>
      </w:tr>
      <w:tr>
        <w:trPr>
          <w:trHeight w:val="216"/>
        </w:trPr>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41,195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6"/>
              </w:rPr>
              <w:t>(117 )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(139 )</w:t>
            </w:r>
          </w:p>
        </w:tc>
      </w:tr>
      <w:tr>
        <w:trPr>
          <w:trHeight w:val="20"/>
        </w:trPr>
        <w:tc>
          <w:tcPr>
            <w:tcW w:w="2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5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59,857</w:t>
            </w:r>
          </w:p>
        </w:tc>
        <w:tc>
          <w:tcPr>
            <w:tcW w:w="120" w:type="dxa"/>
            <w:vAlign w:val="bottom"/>
            <w:tcBorders>
              <w:lef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FF0FC"/>
            </w:tcBorders>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32,164</w:t>
            </w:r>
          </w:p>
        </w:tc>
        <w:tc>
          <w:tcPr>
            <w:tcW w:w="12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76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96"/>
              </w:rPr>
              <w:t>(161 )</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92,021</w:t>
            </w:r>
          </w:p>
        </w:tc>
        <w:tc>
          <w:tcPr>
            <w:tcW w:w="760" w:type="dxa"/>
            <w:vAlign w:val="bottom"/>
            <w:tcBorders>
              <w:left w:val="single" w:sz="8" w:color="CFF0FC"/>
            </w:tcBorders>
            <w:gridSpan w:val="3"/>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(195 )</w:t>
            </w:r>
          </w:p>
        </w:tc>
      </w:tr>
      <w:tr>
        <w:trPr>
          <w:trHeight w:val="20"/>
        </w:trPr>
        <w:tc>
          <w:tcPr>
            <w:tcW w:w="25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-1370965</wp:posOffset>
            </wp:positionV>
            <wp:extent cx="768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-1370965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-1370965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-1370965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-1370965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-24765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holds investment grade marketable securities considered to be in an unrealized loss position. Although these marketable securities are held at an unrealized loss position at December 31, 2024, the Company does not intend to sell the marketable securities prior to the value of the securities being recovered and the Company has concluded that it is more likely than not that the marketable securities cost basis values will be recovered prior to sale of the securities and that there are no conditions or events that might require the Company to sell the securities before recovery of the cost basis occurs. Further, the Company did not record any impairments to marketable securities or reserves for credit losses related to its marketable debt securities during the periods then ended. Marketable securities include $1.4 million and $1.8 million in accrued interest at December 31, 2024 and December 31, 2023, respectively.</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9" w:name="page120"/>
    <w:bookmarkEnd w:id="119"/>
    <w:p>
      <w:pPr>
        <w:ind w:left="520" w:right="7840" w:hanging="512"/>
        <w:spacing w:after="0" w:line="503" w:lineRule="auto"/>
        <w:tabs>
          <w:tab w:leader="none" w:pos="191"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Balance Sheet Information </w:t>
      </w:r>
      <w:r>
        <w:rPr>
          <w:rFonts w:ascii="Times New Roman" w:cs="Times New Roman" w:eastAsia="Times New Roman" w:hAnsi="Times New Roman"/>
          <w:sz w:val="18"/>
          <w:szCs w:val="18"/>
          <w:b w:val="1"/>
          <w:bCs w:val="1"/>
          <w:i w:val="1"/>
          <w:iCs w:val="1"/>
          <w:color w:val="auto"/>
        </w:rPr>
        <w:t>Property and Equipment</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consists of the following:</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9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6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r>
      <w:tr>
        <w:trPr>
          <w:trHeight w:val="210"/>
        </w:trPr>
        <w:tc>
          <w:tcPr>
            <w:tcW w:w="6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16,465</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15,897</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Pr>
          <w:p>
            <w:pPr>
              <w:spacing w:after="0"/>
              <w:rPr>
                <w:sz w:val="18"/>
                <w:szCs w:val="18"/>
                <w:color w:val="auto"/>
              </w:rPr>
            </w:pPr>
          </w:p>
        </w:tc>
        <w:tc>
          <w:tcPr>
            <w:tcW w:w="13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(8,363 )</w:t>
            </w:r>
          </w:p>
        </w:tc>
        <w:tc>
          <w:tcPr>
            <w:tcW w:w="4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(5,989 )</w:t>
            </w:r>
          </w:p>
        </w:tc>
      </w:tr>
      <w:tr>
        <w:trPr>
          <w:trHeight w:val="249"/>
        </w:trPr>
        <w:tc>
          <w:tcPr>
            <w:tcW w:w="69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-25400</wp:posOffset>
            </wp:positionV>
            <wp:extent cx="603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was $2.5 million, $2.4 million, and $1.6 million for the years ended December 31, 2024, 2023, and 2022, respectively.</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include the following:</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90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6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employee-related costs</w:t>
            </w:r>
          </w:p>
        </w:tc>
        <w:tc>
          <w:tcPr>
            <w:tcW w:w="88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7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100" w:type="dxa"/>
            <w:vAlign w:val="bottom"/>
          </w:tcPr>
          <w:p>
            <w:pPr>
              <w:spacing w:after="0"/>
              <w:rPr>
                <w:sz w:val="18"/>
                <w:szCs w:val="18"/>
                <w:color w:val="auto"/>
              </w:rPr>
            </w:pPr>
          </w:p>
        </w:tc>
      </w:tr>
      <w:tr>
        <w:trPr>
          <w:trHeight w:val="216"/>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16,497</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15,401</w:t>
            </w:r>
          </w:p>
        </w:tc>
        <w:tc>
          <w:tcPr>
            <w:tcW w:w="10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-170815</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July 2017, the Company entered into a lease of office and laboratory space at 100 Binney Street in Cambridge, Massachusetts. The lease commenced in March 2018 and lease payments commenced in June 2018. This lease had an original term of eight years with an option to extend for one additional three-year period. The lease agreement required the Company to provide a letter of credit for $0.6 million that was collateralized with cash. In November 2021, the Company entered into a lease termination agreement for this leased office and laboratory space. The lease termination agreement was a modification of the original lease agreement that provided for, among other things, the acceleration of the expiration of the original term of the lease from June 30, 2026 to an earlier lease termination date of September 30, 2022. The $0.6 million letter of credit associated with the lease was recorded as short-term restricted cash on the balance sheet as of December 31, 2022 and was released to the Company in March 2023.</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September 2019, the Company entered into a new lease for office and laboratory space at 201 Brookline Avenue in Boston, Massachusetts. The lease, as amended and restated in November 2021, has a non-cancelable term of ten years with an option to extend for up to two additional five-year periods. The lease commenced in August 2022, when the Company obtained access to the space for its' intended use. The lease agreement provides for initial tenant improvement allowances. The lease agreement required the Company to provide an initial letter of credit for $3.4 million that is collateralized with cash that is recorded as restricted cash in the accompanying balance sheets and is subject to reductions as lease anniversary dates are achieved. This letter of credit was recorded as long-term restricted cash as of December 31, 2022. As of December 31, 2023, $0.9 million was classified as short-term restricted cash to reflect the scheduled security deposit reduction, with the remaining $2.6 million classified as long-term. The short-term portion of this security deposit was released to the Company</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20" w:name="page121"/>
    <w:bookmarkEnd w:id="120"/>
    <w:p>
      <w:pPr>
        <w:ind w:right="620"/>
        <w:spacing w:after="0" w:line="282" w:lineRule="auto"/>
        <w:rPr>
          <w:sz w:val="20"/>
          <w:szCs w:val="20"/>
          <w:color w:val="auto"/>
        </w:rPr>
      </w:pPr>
      <w:r>
        <w:rPr>
          <w:rFonts w:ascii="Times New Roman" w:cs="Times New Roman" w:eastAsia="Times New Roman" w:hAnsi="Times New Roman"/>
          <w:sz w:val="18"/>
          <w:szCs w:val="18"/>
          <w:color w:val="auto"/>
        </w:rPr>
        <w:t>in February 2024, reducing the letter of credit to $2.6 million, all of which remains classified as long-term restricted cash on the balance sheet as of December 31, 2024.</w:t>
      </w:r>
    </w:p>
    <w:p>
      <w:pPr>
        <w:spacing w:after="0" w:line="16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August 2022, upon commencement of the 201 Brookline Avenue lease, the Company recorded an operating lease liability in the amount of $37.9 million and related operating lease right-of-use asset in the amount of $48.0 million. Payments totaling $10.1 million for tenant improvements, and net of tenant improvement allowance reimbursements, made prior to the lease commencement date were reclassified as an increase to the right-of-use asset upon the commencement of the lease. The fixed annual rent payable under the lease is $5.1 million, increasing by 3% annually from the rent commencement date. The minimum rent payments to be paid over the 10-year term of the lease total $61.0 million. The additional rental payments associated with the renewal option were not included in the calculation of the operating lease right-of-use asset and associated operating lease liability as the renewal was not considered probable of occurring. The discount rate applied to the lease payments is 8.0%.</w:t>
      </w:r>
    </w:p>
    <w:p>
      <w:pPr>
        <w:spacing w:after="0" w:line="189" w:lineRule="exact"/>
        <w:rPr>
          <w:sz w:val="20"/>
          <w:szCs w:val="20"/>
          <w:color w:val="auto"/>
        </w:rPr>
      </w:pPr>
    </w:p>
    <w:p>
      <w:pPr>
        <w:ind w:right="300" w:firstLine="554"/>
        <w:spacing w:after="0" w:line="261" w:lineRule="auto"/>
        <w:rPr>
          <w:sz w:val="20"/>
          <w:szCs w:val="20"/>
          <w:color w:val="auto"/>
        </w:rPr>
      </w:pPr>
      <w:r>
        <w:rPr>
          <w:rFonts w:ascii="Times New Roman" w:cs="Times New Roman" w:eastAsia="Times New Roman" w:hAnsi="Times New Roman"/>
          <w:sz w:val="18"/>
          <w:szCs w:val="18"/>
          <w:color w:val="auto"/>
        </w:rPr>
        <w:t>In December 2022, the Company entered into an operating lease agreement to sublease a portion of the 201 Brookline Avenue premise to an unrelated third party. The sublease expired on December 31, 2024. Sublease income recognized under the sublease agreement for the years ended December 31, 2024, 2023, and 2022 were $1.5 million, $1.5 million, and $0.1 million, respectively, and was recorded as a reduction of the related lease expense.</w:t>
      </w:r>
    </w:p>
    <w:p>
      <w:pPr>
        <w:spacing w:after="0" w:line="18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Company’s rent payments for facility leases during the years ended December 31, 2024, 2023, and 2022 are classified as operating lease costs in the table below. The leases are both considered net leases and therefore the non-lease components, such as common area maintenance, are paid separately from rent based on actual costs incurred; therefore, the non-lease components are not included in the right-of-use asset and lease liability and are reflected as an expense in the period incurred. The non-lease components are classified as variable costs in the chart below. As of December 31, 2024 and 2023, right-of-use assets under operating leases totaled $39.5 million and $43.5 million, respectively. The elements of lease cost were as follows (in thousands, unless otherwise noted):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vMerge w:val="restart"/>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3"/>
                <w:szCs w:val="13"/>
                <w:color w:val="auto"/>
              </w:rPr>
            </w:pPr>
          </w:p>
        </w:tc>
        <w:tc>
          <w:tcPr>
            <w:tcW w:w="21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3"/>
                <w:szCs w:val="13"/>
                <w:color w:val="auto"/>
              </w:rPr>
            </w:pPr>
          </w:p>
        </w:tc>
        <w:tc>
          <w:tcPr>
            <w:tcW w:w="1540" w:type="dxa"/>
            <w:vAlign w:val="bottom"/>
            <w:vMerge w:val="restart"/>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(1,495 )</w:t>
            </w:r>
          </w:p>
        </w:tc>
        <w:tc>
          <w:tcPr>
            <w:tcW w:w="20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(1,467 )</w:t>
            </w:r>
          </w:p>
        </w:tc>
        <w:tc>
          <w:tcPr>
            <w:tcW w:w="1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10"/>
        </w:trPr>
        <w:tc>
          <w:tcPr>
            <w:tcW w:w="49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3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3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-728345</wp:posOffset>
            </wp:positionV>
            <wp:extent cx="12001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-728345</wp:posOffset>
            </wp:positionV>
            <wp:extent cx="12001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-728345</wp:posOffset>
            </wp:positionV>
            <wp:extent cx="12001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7">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160" w:type="dxa"/>
            <w:vAlign w:val="bottom"/>
            <w:shd w:val="clear" w:color="auto" w:fill="CFF0FC"/>
          </w:tcPr>
          <w:p>
            <w:pPr>
              <w:jc w:val="right"/>
              <w:ind w:right="1210"/>
              <w:spacing w:after="0"/>
              <w:rPr>
                <w:sz w:val="20"/>
                <w:szCs w:val="20"/>
                <w:color w:val="auto"/>
              </w:rPr>
            </w:pPr>
            <w:r>
              <w:rPr>
                <w:rFonts w:ascii="Times New Roman" w:cs="Times New Roman" w:eastAsia="Times New Roman" w:hAnsi="Times New Roman"/>
                <w:sz w:val="18"/>
                <w:szCs w:val="18"/>
                <w:color w:val="auto"/>
              </w:rPr>
              <w:t>8 %</w:t>
            </w:r>
          </w:p>
        </w:tc>
        <w:tc>
          <w:tcPr>
            <w:tcW w:w="96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8 %</w:t>
            </w:r>
          </w:p>
        </w:tc>
        <w:tc>
          <w:tcPr>
            <w:tcW w:w="1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432"/>
        </w:trPr>
        <w:tc>
          <w:tcPr>
            <w:tcW w:w="8320" w:type="dxa"/>
            <w:vAlign w:val="bottom"/>
            <w:gridSpan w:val="3"/>
          </w:tcPr>
          <w:p>
            <w:pPr>
              <w:jc w:val="right"/>
              <w:ind w:right="1230"/>
              <w:spacing w:after="0"/>
              <w:rPr>
                <w:sz w:val="20"/>
                <w:szCs w:val="20"/>
                <w:color w:val="auto"/>
              </w:rPr>
            </w:pPr>
            <w:r>
              <w:rPr>
                <w:rFonts w:ascii="Times New Roman" w:cs="Times New Roman" w:eastAsia="Times New Roman" w:hAnsi="Times New Roman"/>
                <w:sz w:val="18"/>
                <w:szCs w:val="18"/>
                <w:color w:val="auto"/>
              </w:rPr>
              <w:t>Future minimum lease payments due under operating leases are as follows (in thousands):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140" w:type="dxa"/>
            <w:vAlign w:val="bottom"/>
          </w:tcPr>
          <w:p>
            <w:pPr>
              <w:spacing w:after="0"/>
              <w:rPr>
                <w:sz w:val="24"/>
                <w:szCs w:val="24"/>
                <w:color w:val="auto"/>
              </w:rPr>
            </w:pPr>
          </w:p>
        </w:tc>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4"/>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Future minimum lease</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4020" w:type="dxa"/>
            <w:vAlign w:val="bottom"/>
            <w:tcBorders>
              <w:bottom w:val="single" w:sz="8" w:color="auto"/>
            </w:tcBorders>
            <w:vMerge w:val="continue"/>
          </w:tcPr>
          <w:p>
            <w:pPr>
              <w:spacing w:after="0"/>
              <w:rPr>
                <w:sz w:val="15"/>
                <w:szCs w:val="15"/>
                <w:color w:val="auto"/>
              </w:rPr>
            </w:pPr>
          </w:p>
        </w:tc>
        <w:tc>
          <w:tcPr>
            <w:tcW w:w="3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2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3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160" w:type="dxa"/>
            <w:vAlign w:val="bottom"/>
          </w:tcPr>
          <w:p>
            <w:pPr>
              <w:spacing w:after="0"/>
              <w:rPr>
                <w:sz w:val="18"/>
                <w:szCs w:val="18"/>
                <w:color w:val="auto"/>
              </w:rPr>
            </w:pPr>
          </w:p>
        </w:tc>
        <w:tc>
          <w:tcPr>
            <w:tcW w:w="960" w:type="dxa"/>
            <w:vAlign w:val="bottom"/>
            <w:gridSpan w:val="2"/>
          </w:tcPr>
          <w:p>
            <w:pPr>
              <w:jc w:val="right"/>
              <w:ind w:right="6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160" w:type="dxa"/>
            <w:vAlign w:val="bottom"/>
          </w:tcPr>
          <w:p>
            <w:pPr>
              <w:spacing w:after="0"/>
              <w:rPr>
                <w:sz w:val="18"/>
                <w:szCs w:val="18"/>
                <w:color w:val="auto"/>
              </w:rPr>
            </w:pPr>
          </w:p>
        </w:tc>
        <w:tc>
          <w:tcPr>
            <w:tcW w:w="960" w:type="dxa"/>
            <w:vAlign w:val="bottom"/>
            <w:gridSpan w:val="2"/>
          </w:tcPr>
          <w:p>
            <w:pPr>
              <w:jc w:val="right"/>
              <w:ind w:right="6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3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160" w:type="dxa"/>
            <w:vAlign w:val="bottom"/>
          </w:tcPr>
          <w:p>
            <w:pPr>
              <w:spacing w:after="0"/>
              <w:rPr>
                <w:sz w:val="18"/>
                <w:szCs w:val="18"/>
                <w:color w:val="auto"/>
              </w:rPr>
            </w:pPr>
          </w:p>
        </w:tc>
        <w:tc>
          <w:tcPr>
            <w:tcW w:w="960" w:type="dxa"/>
            <w:vAlign w:val="bottom"/>
            <w:gridSpan w:val="2"/>
          </w:tcPr>
          <w:p>
            <w:pPr>
              <w:jc w:val="right"/>
              <w:ind w:right="6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3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50,100</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(13,607 )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0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ind w:right="62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36,493</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Sesame Therapeutics, Inc.</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1" w:name="page122"/>
    <w:bookmarkEnd w:id="121"/>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June 2024, the Company and Sesame Therapeutics, Inc. (Sesame) entered into a license agreement pursuant to which the Company granted Sesame a non-exclusive license to certain know-how associated with preclinical research (the Sesame Agreement). Pursuant to the Sesame Agreement, the Company received a $0.1 million upfront, non-refundable payment in June 2024.</w:t>
      </w:r>
    </w:p>
    <w:p>
      <w:pPr>
        <w:spacing w:after="0" w:line="176"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Under the terms of the Sesame Agreement, the Company is eligible to receive up to $25.9 million in potential future clinical, regulatory, and commercial milestone event payments. The Company is also eligible to receive low single-digit tiered royalties on net sales of any product covered by a licensed patent.</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evaluated the Sesame Agreement under ASC 606. The Company identified the following promises under the agreement: (1) the non-exclusive license and (2) the initial know-how transfer, and determined that the promises were immaterial as the upfront license payment at contract inception was an inconsequential payment amount. The initial upfront license payment was recorded as license revenue on the consolidated statements of operations and comprehensive loss during the period ended June 30, 2024.</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All potential future milestone payments are considered to be variable consideration and have been excluded from the transaction price. Revenue for all potential clinical and regulatory milestone achievements will be recognized when the related milestones are achieved or when it becomes probable that a significant reversal in the amount of revenue recognized relating to the milestone event will not occur. Milestone payments that are not within the control of the Company or the licensee, such as regulatory approvals, are not considered probable of being achieved until those approvals are received. Additionally, revenue related to potential sales milestones and royalties from the sales of the licensed products will be recognized when the related sales occur.</w:t>
      </w:r>
    </w:p>
    <w:p>
      <w:pPr>
        <w:spacing w:after="0" w:line="187"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Due to common relationships amongst members of management and the boards of directors, the transaction above with Sesame is a related party transaction.</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Medivir AB</w:t>
      </w:r>
    </w:p>
    <w:p>
      <w:pPr>
        <w:spacing w:after="0" w:line="227"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In March 2020, the Company entered into a License Agreement (the Medivir Agreement) with Medivir AB (Medivir), pursuant to which the Company obtained an exclusive license to all patents, know-how and other intellectual property associated with a preclinical-stage research program. Pursuant to the Medivir Agreement, the Company made an upfront payment of $0.4 million.</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terms of the Medivir Agreement, the Company is obligated to pay Medivir in connection with development, regulatory and commercial activities. The Company has agreed to make certain milestone payments of $1.4 million in the aggregate for the first licensed product that achieves specified clinical milestones, plus $25.0 million for the first licensed product that achieves specified regulatory approval and sales milestones, in each case, in either of the first two specified genetic contexts and $0.7 million in the aggregate if that first licensed product achieves specified clinical milestones, plus $5.0 million if that first licensed product achieves specified regulatory and sales milestones for a third genetic context or the second licensed product achieves such specified development, regulatory and sales milestones in either of the first two specified genetic contexts. The Company has the right to reduce these milestone payments by a specified amount in the event the licensed product is not covered by Medivir’s patents or if payments are due to a third party for a license under such third party’s intellectual property rights. The Company is also obligated to pay Medivir a low single-digit royalty on net sales of any product covered by a licensed patent. The Medivir Agreement expires on the date of expiration of all royalty obligations. Either party may terminate the Medivir Agreement earlier upon an uncured material breach of the other party.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Upfront fees paid pursuant to the Medivir License Agreement were recorded to research and development expense.</w:t>
      </w:r>
    </w:p>
    <w:p>
      <w:pPr>
        <w:spacing w:after="0" w:line="225" w:lineRule="exact"/>
        <w:rPr>
          <w:sz w:val="20"/>
          <w:szCs w:val="20"/>
          <w:color w:val="auto"/>
        </w:rPr>
      </w:pPr>
    </w:p>
    <w:p>
      <w:pPr>
        <w:ind w:right="180" w:firstLine="584"/>
        <w:spacing w:after="0" w:line="266" w:lineRule="auto"/>
        <w:rPr>
          <w:sz w:val="20"/>
          <w:szCs w:val="20"/>
          <w:color w:val="auto"/>
        </w:rPr>
      </w:pPr>
      <w:r>
        <w:rPr>
          <w:rFonts w:ascii="Times New Roman" w:cs="Times New Roman" w:eastAsia="Times New Roman" w:hAnsi="Times New Roman"/>
          <w:sz w:val="18"/>
          <w:szCs w:val="18"/>
          <w:color w:val="auto"/>
        </w:rPr>
        <w:t>In May 2024, we made the decision to discontinue further development of TNG348, the basis of our USP1 program, due to liver toxicity experienced by patients in the dose escalation portion of the Phase1/2 clinical trial. As a result, we do not expect any on-going material obligations under the Medivir Agreement.</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Trial Collaboration and Supply Agreement</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November 2024, the Company and Revolution Medicines, Inc. (RevMed) entered into a Clinical Trial Collaboration and Supply Agreement. The agreement provides that RevMed will supply daraxonrasib (RMC-6236), a RAS(ON) multi-selective inhibitor, and zoldonrasib (RMC-9805), a RAS(ON) G12D-selective inhibitor, at no cost to the Company for use in trials that will include TNG462 and each of these RAS(ON) inhibitors. The Company will be the sponsor of any combination trials and bear associated costs. Each company will retain commercial rights to its respective compounds,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22" w:name="page123"/>
    <w:bookmarkEnd w:id="122"/>
    <w:p>
      <w:pPr>
        <w:ind w:right="80"/>
        <w:spacing w:after="0" w:line="282" w:lineRule="auto"/>
        <w:rPr>
          <w:sz w:val="20"/>
          <w:szCs w:val="20"/>
          <w:color w:val="auto"/>
        </w:rPr>
      </w:pPr>
      <w:r>
        <w:rPr>
          <w:rFonts w:ascii="Times New Roman" w:cs="Times New Roman" w:eastAsia="Times New Roman" w:hAnsi="Times New Roman"/>
          <w:sz w:val="18"/>
          <w:szCs w:val="18"/>
          <w:color w:val="auto"/>
        </w:rPr>
        <w:t>and the agreement is mutually non-exclusive. Due to common relationships amongst members of management and the boards of directors, this transaction is a related party transaction.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Funding Commitments</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ongoing preclinical and clinical studies. The Company enters into contracts in the normal course of business with contract research organizations in connection with preparation and operation of clinical trials, professional consultants for expert advice and other vendors for clinical supply manufacturing or other preclinical and clinical services. These contracts are generally cancellable, with notice, at the Company's option and do not have significant cancellation penalties.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enters into certain agreements with other parties in the ordinary course of business that contain indemnification provisions. These typically include agreements with directors and officers, business partners, contractors, landlords, construction companies, contract research organizations, clinical trial sites, and other parties. Under these provisions, the Company generally indemnifies, defends and holds harmless the indemnified party for losses suffered or incurred by the indemnified party under the terms of the contract, including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as of December 31, 2024, and no material legal proceedings are currently pending or threatened. Because of uncertainties related to claims, proceedings and litigation, assessments of potential liabilities are based on the Company's best estimates based on information available at the time of the assessment. On a periodic basis, as additional information becomes available, or based on specific events such as the outcome of litigation, court decisions or settlement of claims (and offers of settlement), the Company may reassess the potential liability related to these matters and may revise these estimates, which could result in a material adverse effect on the operating results of the Company. Costs associated with involvement in legal proceedings are expensed as incurred. The outcome of any such proceedings, regardless of the merits, is inherently uncertain. If the Company were to be unable to prevail in any such proceedings, the consolidated financial position, results of operations, and future cash flows of the Company may be materially impacted.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Redeemable Convertible Preferred Stock</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as amended and restated, authorizes the Company to issue shares of preferred stock with a par value of $0.001 per share. The number of shares of preferred stock authorized to be issued is 10,000,000 shares as of December 31, 2024. The shares of preferred stock are currently undesignated and no shares are issued or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Company’s Certificate of Incorporation, as amended and restated, authorizes the Company to issue shares of common stock with a par value of $0.001 per share. The holder of each share of common stock is entitled to one vote in respect of each share of stock held. In the event of any voluntary or involuntary liquidation, dissolution or winding up of the Company, the funds and assets available for distribution to the stockholders of the Company will be distributed among the holders of shares of common stock, pro rata based on the number of shares of common stock held by each such holder. The holders of Common Stock are also entitled to receive dividends whenever funds and assets are legally available and when declared by the board of directors. No dividends have been declared as of December 31, 2024.</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23" w:name="page124"/>
    <w:bookmarkEnd w:id="123"/>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increased the number of shares of common stock authorized to be issued to 200,000,000 shares in August 2021, at the time in which the Certificate of Incorporation was amended and restated. As of December 31, 2024 and 2023, there were 107,729,343 and 102,202,759 shares of common stock issued and outstanding,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 Incentive Plans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2017 Stock Option and Grant Plan</w:t>
      </w:r>
    </w:p>
    <w:p>
      <w:pPr>
        <w:spacing w:after="0" w:line="22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March 2017, the Company’s stockholders approved the 2017 Stock Option and Grant Plan (the 2017 Plan), under which stock options and restricted stock awards were granted to eligible employees, officers, directors, consultants, or other key persons who provide services to the Company. Such issuances under the 2017 Plan were subject to vesting, forfeiture and other restrictions as deemed appropriate by the board of directors at the time of issuance.</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Upon effectiveness of the 2021 Stock Option and Incentive Plan (the 2021 Plan) in August 2021, the remaining shares available under the 2017 Plan ceased to be available for issuance and no future issuances will be made under the 2017 Plan. The shares of common stock underlying outstanding awards under the 2017 Plan that are forfeited, cancelled, reacquired by the Company prior to vesting, expire or are otherwise terminated (other than by exercise) will be added to the shares of common stock available for issuance under the 2021 Plan.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Stock Option and Incentive Plan</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August 2021, the Company's board of directors and stockholders approved the 2021 Plan under which stock options, restricted stock units (RSUs) and other equity-based awards or any combination of these may be granted to eligible employees, officers, directors, consultants, or other key persons who provide services to the Company. Such issuances are subject to vesting, forfeiture and other restrictions as deemed appropriate by the board of directors at the time of issuance.</w:t>
      </w:r>
    </w:p>
    <w:p>
      <w:pPr>
        <w:spacing w:after="0" w:line="18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Upon approval, the maximum number of shares of stock reserved and available for issuance under the 2021 Plan was 9,498,725 shares. The number of shares available for future grant will automatically increase on the first day of each fiscal year by an amount equal to the least of: (i) five percent of the number of shares of Stock issued and outstanding on the immediately preceding December 31 or (ii) such lesser number of shares as determined by the 2021 Plan Administrator, as appointed by the board of directors. Awards that are returned to the Company's equity plan as a result of forfeiture or cancellation, are reacquired by the Company prior to vesting, expiration, or any other form of termination (other than by exercise) are automatically made available for issuance under the 2021 Plan. As of December 31, 2024, there were 7,054,673 shares available for future grant under the 2021 Plan and on January 1, 2025, the number of shares available for future grant under the 2021 Plan increased by 5,386,467 shares.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2021 Employee Stock Purchase Plan (the 2021 ESPP) was adopted and approved by the Company’s board of directors and by the Company’s stockholders and became effective in August 2021. An aggregate of 949,873 shares were reserved for issuance. The 2021 ESPP provides that the number of shares reserved and available for issuance will automatically increase each January 1, beginning on January 1, 2022 and each January 1 thereafter, by the least of (i) 1% of the outstanding number of shares of the Company’s common stock on the immediately preceding December 31, (ii) 949,873 shares or (iii) such number of shares as determined by the administrator. During the year ended December 31, 2024, the Company issued 219,453 shares of common stock under the 2021 ESPP. As of December 31, 2024, there were 3,031,232 shares available for future purchase under the 2021 ESPP and on January 1, 2025, the number of shares available for future purchase under the 2021 ESPP increased by 949,873 shares.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2023 Inducement Plan</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February 2023, the Company's board of directors approved the 2023 Inducement Plan (the Inducement Plan), under which the Company reserved 3,000,000 shares of common stock, to be used exclusively for grants of non-qualified stock options, restricted stock units and other equity-based awards, or any combination of these to individuals who were not previously employees or directors of the Company. Such issuances are subject to vesting, forfeiture and other restrictions as deemed appropriate by the board of directors at the time of issuance. Awards that are returned to the Company's Inducement Plan as a result of forfeiture or cancellation, are reacquired by the Company prior to vesting, expiration, or any other form of termination (other than by exercise) are automatically made available for issuance under the Inducement Plan. As of December 31, 2024, there were 1,975,390 shares available for future grant under the Inducement Plan.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4" w:name="page125"/>
    <w:bookmarkEnd w:id="12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RSU activity of the Company’s plans as of and for the years ended December 31,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2420" w:type="dxa"/>
            <w:vAlign w:val="bottom"/>
            <w:gridSpan w:val="2"/>
            <w:vMerge w:val="restart"/>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 Per</w:t>
            </w:r>
          </w:p>
        </w:tc>
        <w:tc>
          <w:tcPr>
            <w:tcW w:w="0" w:type="dxa"/>
            <w:vAlign w:val="bottom"/>
          </w:tcPr>
          <w:p>
            <w:pPr>
              <w:spacing w:after="0"/>
              <w:rPr>
                <w:sz w:val="1"/>
                <w:szCs w:val="1"/>
                <w:color w:val="auto"/>
              </w:rPr>
            </w:pPr>
          </w:p>
        </w:tc>
      </w:tr>
      <w:tr>
        <w:trPr>
          <w:trHeight w:val="173"/>
        </w:trPr>
        <w:tc>
          <w:tcPr>
            <w:tcW w:w="6780" w:type="dxa"/>
            <w:vAlign w:val="bottom"/>
          </w:tcPr>
          <w:p>
            <w:pPr>
              <w:spacing w:after="0"/>
              <w:rPr>
                <w:sz w:val="15"/>
                <w:szCs w:val="15"/>
                <w:color w:val="auto"/>
              </w:rPr>
            </w:pPr>
          </w:p>
        </w:tc>
        <w:tc>
          <w:tcPr>
            <w:tcW w:w="242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5"/>
                <w:szCs w:val="15"/>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9"/>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and outstanding as of December 31, 2023</w:t>
            </w:r>
          </w:p>
        </w:tc>
        <w:tc>
          <w:tcPr>
            <w:tcW w:w="2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757,514</w:t>
            </w: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909,659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2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(260,865 )</w:t>
            </w: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2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(196,975 )</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and outstanding as of December 31, 2024</w:t>
            </w:r>
          </w:p>
        </w:tc>
        <w:tc>
          <w:tcPr>
            <w:tcW w:w="2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1,209,333</w:t>
            </w: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total fair value of RSUs vested during the years ended December 31, 2024 and 2023 was $3.0 million and $0.1 million, respectively. No RSUs vested during the year ended December 31, 2022.</w:t>
      </w:r>
    </w:p>
    <w:p>
      <w:pPr>
        <w:spacing w:after="0" w:line="16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total unrecognized compensation expense related to RSUs was $7.4 million, which the Company expects to recognize over a remaining weighted-average period of 1.8 years.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of the Company’s equity plans as of and for the years ended December 31, 2024: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as of December 31, 2023</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16,734,960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62,640,906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5,575,399</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(1,045,066 )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(1,650,270 )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as of December 31, 2024</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19,615,023</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2,157,177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exercisable as of December 31, 2024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11,192,619</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2,120,954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options and the fair value of the Company’s common stock for those options that had exercise prices lower than the fair value of the Company’s common stock.</w:t>
      </w:r>
    </w:p>
    <w:p>
      <w:pPr>
        <w:spacing w:after="0" w:line="16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totaled $4.9 million, $2.8 million, and $3.1 million for the years ended December 31, 2024, 2023, and 2022, respectively. The weighted-average grant date fair value per share of stock options granted was $7.46, $5.41, and $5.48 for the years ended December 31, 2024, 2023, and 2022, respectively.</w:t>
      </w:r>
    </w:p>
    <w:p>
      <w:pPr>
        <w:spacing w:after="0" w:line="176"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total unrecognized compensation expense related to stock options was $42.9 million, which the Company expects to recognize over a remaining weighted-average period of 2.3 years. Substantially all options outstanding as of December 31, 2024 are expected to vest.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used to estimate the grant date fair value of the stock options using the Black-Scholes option pricing model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option life (in years)</w:t>
            </w: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182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7"/>
              </w:rPr>
              <w:t>6.2</w:t>
            </w:r>
          </w:p>
        </w:tc>
        <w:tc>
          <w:tcPr>
            <w:tcW w:w="18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7"/>
              </w:rPr>
              <w:t>6.2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w:t>
            </w:r>
          </w:p>
        </w:tc>
        <w:tc>
          <w:tcPr>
            <w:tcW w:w="18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72%</w:t>
            </w:r>
          </w:p>
        </w:tc>
        <w:tc>
          <w:tcPr>
            <w:tcW w:w="18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6"/>
              </w:rPr>
              <w:t>72%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3.9%</w:t>
            </w:r>
          </w:p>
        </w:tc>
        <w:tc>
          <w:tcPr>
            <w:tcW w:w="182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4.1%</w:t>
            </w:r>
          </w:p>
        </w:tc>
        <w:tc>
          <w:tcPr>
            <w:tcW w:w="18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2.2%</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20"/>
                <w:szCs w:val="20"/>
                <w:color w:val="auto"/>
              </w:rPr>
            </w:pPr>
          </w:p>
        </w:tc>
      </w:tr>
      <w:tr>
        <w:trPr>
          <w:trHeight w:val="522"/>
        </w:trPr>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F-24</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5" w:name="page126"/>
    <w:bookmarkEnd w:id="12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169"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1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4886960</wp:posOffset>
            </wp:positionH>
            <wp:positionV relativeFrom="paragraph">
              <wp:posOffset>-12065</wp:posOffset>
            </wp:positionV>
            <wp:extent cx="85725"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5">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-12065</wp:posOffset>
            </wp:positionV>
            <wp:extent cx="85725"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6">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-12065</wp:posOffset>
            </wp:positionV>
            <wp:extent cx="85725"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7">
                      <a:extLst>
                        <a:ext uri="{28A0092B-C50C-407E-A947-70E740481C1C}"/>
                      </a:extLst>
                    </a:blip>
                    <a:srcRect/>
                    <a:stretch>
                      <a:fillRect/>
                    </a:stretch>
                  </pic:blipFill>
                  <pic:spPr bwMode="auto">
                    <a:xfrm>
                      <a:off x="0" y="0"/>
                      <a:ext cx="85725" cy="137160"/>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142"/>
        </w:trPr>
        <w:tc>
          <w:tcPr>
            <w:tcW w:w="59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42"/>
        </w:trPr>
        <w:tc>
          <w:tcPr>
            <w:tcW w:w="5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10,047</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7,418</w:t>
            </w:r>
          </w:p>
        </w:tc>
        <w:tc>
          <w:tcPr>
            <w:tcW w:w="100" w:type="dxa"/>
            <w:vAlign w:val="bottom"/>
          </w:tcPr>
          <w:p>
            <w:pPr>
              <w:spacing w:after="0"/>
              <w:rPr>
                <w:sz w:val="18"/>
                <w:szCs w:val="18"/>
                <w:color w:val="auto"/>
              </w:rPr>
            </w:pPr>
          </w:p>
        </w:tc>
      </w:tr>
      <w:tr>
        <w:trPr>
          <w:trHeight w:val="210"/>
        </w:trPr>
        <w:tc>
          <w:tcPr>
            <w:tcW w:w="5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28,897</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14,230</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-7620</wp:posOffset>
            </wp:positionV>
            <wp:extent cx="60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2023, and 2022 the Company recorded total tax provisions of $0.2 million, $0.1 million, and less than $0.1 million, respectively. All of the Company’s operating losses since inception have been generated in the United States.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is as follows: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vMerge w:val="restart"/>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3"/>
                <w:szCs w:val="13"/>
                <w:color w:val="auto"/>
              </w:rPr>
            </w:pPr>
          </w:p>
        </w:tc>
        <w:tc>
          <w:tcPr>
            <w:tcW w:w="20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4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at U.S. federal statutory rate</w:t>
            </w:r>
          </w:p>
        </w:tc>
        <w:tc>
          <w:tcPr>
            <w:tcW w:w="8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21.0 %</w:t>
            </w: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21.0 %</w:t>
            </w:r>
          </w:p>
        </w:tc>
        <w:tc>
          <w:tcPr>
            <w:tcW w:w="1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and state research and development tax credits</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(1.5 )</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(2.1 )</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Nondeductible/nontaxable permanent items</w:t>
            </w:r>
          </w:p>
        </w:tc>
        <w:tc>
          <w:tcPr>
            <w:tcW w:w="80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(0.1 )</w:t>
            </w: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(0.2 )</w:t>
            </w: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(0.2 )</w:t>
            </w:r>
          </w:p>
        </w:tc>
        <w:tc>
          <w:tcPr>
            <w:tcW w:w="17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(33.1 )</w:t>
            </w: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(31.8 )</w:t>
            </w: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(29.1 )</w:t>
            </w:r>
          </w:p>
        </w:tc>
        <w:tc>
          <w:tcPr>
            <w:tcW w:w="0" w:type="dxa"/>
            <w:vAlign w:val="bottom"/>
          </w:tcPr>
          <w:p>
            <w:pPr>
              <w:spacing w:after="0"/>
              <w:rPr>
                <w:sz w:val="1"/>
                <w:szCs w:val="1"/>
                <w:color w:val="auto"/>
              </w:rPr>
            </w:pPr>
          </w:p>
        </w:tc>
      </w:tr>
      <w:tr>
        <w:trPr>
          <w:trHeight w:val="20"/>
        </w:trPr>
        <w:tc>
          <w:tcPr>
            <w:tcW w:w="51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880" w:type="dxa"/>
            <w:vAlign w:val="bottom"/>
          </w:tcPr>
          <w:p>
            <w:pPr>
              <w:spacing w:after="0"/>
              <w:rPr>
                <w:sz w:val="19"/>
                <w:szCs w:val="19"/>
                <w:color w:val="auto"/>
              </w:rPr>
            </w:pP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(0.2 )%</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(0.1 )%</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-156845</wp:posOffset>
            </wp:positionV>
            <wp:extent cx="15430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-156845</wp:posOffset>
            </wp:positionV>
            <wp:extent cx="15430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-156845</wp:posOffset>
            </wp:positionV>
            <wp:extent cx="15430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3">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components of the deferred tax assets and liabilities are as follows: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6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90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6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30,640</w:t>
            </w:r>
          </w:p>
        </w:tc>
        <w:tc>
          <w:tcPr>
            <w:tcW w:w="26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16,579</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27,775</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18,798</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11,746</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12,621</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17,027</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24,644</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 and reserves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Capitalized research costs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71,315</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48,257</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 and other</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00" w:type="dxa"/>
            <w:vAlign w:val="bottom"/>
          </w:tcPr>
          <w:p>
            <w:pPr>
              <w:spacing w:after="0"/>
              <w:rPr>
                <w:sz w:val="18"/>
                <w:szCs w:val="18"/>
                <w:color w:val="auto"/>
              </w:rPr>
            </w:pPr>
          </w:p>
        </w:tc>
      </w:tr>
      <w:tr>
        <w:trPr>
          <w:trHeight w:val="210"/>
        </w:trPr>
        <w:tc>
          <w:tcPr>
            <w:tcW w:w="6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168,852</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127,364</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Pr>
          <w:p>
            <w:pPr>
              <w:spacing w:after="0"/>
              <w:rPr>
                <w:sz w:val="18"/>
                <w:szCs w:val="18"/>
                <w:color w:val="auto"/>
              </w:rPr>
            </w:pPr>
          </w:p>
        </w:tc>
        <w:tc>
          <w:tcPr>
            <w:tcW w:w="13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(156,402 )</w:t>
            </w:r>
          </w:p>
        </w:tc>
        <w:tc>
          <w:tcPr>
            <w:tcW w:w="4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(113,397 )</w:t>
            </w:r>
          </w:p>
        </w:tc>
      </w:tr>
      <w:tr>
        <w:trPr>
          <w:trHeight w:val="210"/>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12,450</w:t>
            </w:r>
          </w:p>
        </w:tc>
        <w:tc>
          <w:tcPr>
            <w:tcW w:w="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(1,705 )</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(2,126 )</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w:t>
            </w:r>
          </w:p>
        </w:tc>
        <w:tc>
          <w:tcPr>
            <w:tcW w:w="340" w:type="dxa"/>
            <w:vAlign w:val="bottom"/>
          </w:tcPr>
          <w:p>
            <w:pPr>
              <w:spacing w:after="0"/>
              <w:rPr>
                <w:sz w:val="18"/>
                <w:szCs w:val="18"/>
                <w:color w:val="auto"/>
              </w:rPr>
            </w:pPr>
          </w:p>
        </w:tc>
        <w:tc>
          <w:tcPr>
            <w:tcW w:w="13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(10,745 )</w:t>
            </w:r>
          </w:p>
        </w:tc>
        <w:tc>
          <w:tcPr>
            <w:tcW w:w="4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(11,841 )</w:t>
            </w:r>
          </w:p>
        </w:tc>
      </w:tr>
      <w:tr>
        <w:trPr>
          <w:trHeight w:val="20"/>
        </w:trPr>
        <w:tc>
          <w:tcPr>
            <w:tcW w:w="69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(12,450 )</w:t>
            </w:r>
          </w:p>
        </w:tc>
        <w:tc>
          <w:tcPr>
            <w:tcW w:w="4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(13,967 )</w:t>
            </w:r>
          </w:p>
        </w:tc>
      </w:tr>
      <w:tr>
        <w:trPr>
          <w:trHeight w:val="209"/>
        </w:trPr>
        <w:tc>
          <w:tcPr>
            <w:tcW w:w="6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-719455</wp:posOffset>
            </wp:positionV>
            <wp:extent cx="603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-719455</wp:posOffset>
            </wp:positionV>
            <wp:extent cx="603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-153670</wp:posOffset>
            </wp:positionV>
            <wp:extent cx="603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-153670</wp:posOffset>
            </wp:positionV>
            <wp:extent cx="603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operating lease liability deferred tax asset in the table above includes leasehold improvements related to the Company's 201 Brookline Avenue facility lease that has tax basis with no book basis.</w:t>
      </w:r>
    </w:p>
    <w:p>
      <w:pPr>
        <w:spacing w:after="0" w:line="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126" w:name="page127"/>
    <w:bookmarkEnd w:id="126"/>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U.S. federal and state net operating loss (NOL) carryforwards of $112.4 million and $123.9 million, respectively, which may be available to offset future taxable income. The federal NOLs include $2.8 million which expire at various dates beginning in 2036 and $109.6 million which carry forward indefinitely. The state NOLs expire at various dates beginning in 2036. As of December 31, 2024, the Company also had U.S. federal and state research and development tax credit carryforwards of $20.0 million and $10.1 million, respectively, which may be available to offset future tax. The federal credits will expire beginning in 2034, and the state credits will expire beginning in 2025.</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Utilization of the U.S. federal and state net operating loss carryforwards and research and development tax credit carryforwards may be subject to a substantial annual limitation under Section 382 of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results from transactions increasing the ownership of certain stockholders or public groups in the stock of a corporation by more than 50% over a three-year period. The Company last performed an analysis of ownership changes through December 31, 2021 and determined that on February 6, 2017 and August 17, 2020, ownership changes had occurred. Based on this analysis, the Company’s ability to use its pre-change tax attributes to offset federal and state taxable income are subject to annual limitations and a portion of the attributes generated prior to February 6, 2017 expired unutilized.</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ASC 740 requires a valuation allowance to reduce the deferred tax assets reported, if based on the weight of the evidence, it is more likely than not that some portion or all of the deferred tax assets will not be realized. 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net deferred tax assets as of December 31, 2024 and 2023. Management reevaluates the positive and negative evidence at each reporting period. The Company recorded an increase to the valuation allowance of $43.0 million during 2024 related primarily to the increase in net operating loss carryforwards, research and development tax credit carryforwards, and capitalized research costs.</w:t>
      </w:r>
    </w:p>
    <w:p>
      <w:pPr>
        <w:spacing w:after="0" w:line="192"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had not recorded any amounts for unrecognized tax benefits. The Company’s policy is to record interest and penalties related to income taxes as part of its income tax provision. As of December 31, 2024 and 2023, the Company had no accrued interest or penalties related to uncertain tax positions in the consolidated statements of operations and comprehensive loss.</w:t>
      </w:r>
    </w:p>
    <w:p>
      <w:pPr>
        <w:spacing w:after="0" w:line="176"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The Company files income tax returns in the U.S. federal and state jurisdictions, as prescribed by tax laws. In the normal course of business, the Company is subject to examination by federal and state jurisdictions, where applicable. The statute of limitations for federal and state tax authorities is generally closed for years prior to December 31, 2021, although carryforward attributes that were generated prior to 2021 may still be subject to change upon examination if they are utilized to offset taxable income in subsequent tax years. There are currently no federal or state income tax audits in progress.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401(K) Savings Plan</w:t>
      </w:r>
    </w:p>
    <w:p>
      <w:pPr>
        <w:spacing w:after="0" w:line="2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 maintains a 401(k) retirement savings plan for employees who satisfy certain eligibility requirements. The savings plan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The Company made matching contributions to participants in the 401(k) plan of $1.3 million, $0.9 million and $0.7 million during the years ended December 31, 2024, 2023 and 2022, respectively.</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20" w:type="dxa"/>
            <w:vAlign w:val="bottom"/>
            <w:gridSpan w:val="7"/>
          </w:tcPr>
          <w:p>
            <w:pPr>
              <w:jc w:val="center"/>
              <w:ind w:left="637"/>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share data)</w:t>
            </w:r>
          </w:p>
        </w:tc>
        <w:tc>
          <w:tcPr>
            <w:tcW w:w="340" w:type="dxa"/>
            <w:vAlign w:val="bottom"/>
          </w:tcPr>
          <w:p>
            <w:pPr>
              <w:spacing w:after="0"/>
              <w:rPr>
                <w:sz w:val="12"/>
                <w:szCs w:val="12"/>
                <w:color w:val="auto"/>
              </w:rPr>
            </w:pPr>
          </w:p>
        </w:tc>
        <w:tc>
          <w:tcPr>
            <w:tcW w:w="98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(130,302 )</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(101,744 )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(108,176 )</w:t>
            </w:r>
          </w:p>
        </w:tc>
        <w:tc>
          <w:tcPr>
            <w:tcW w:w="0" w:type="dxa"/>
            <w:vAlign w:val="bottom"/>
          </w:tcPr>
          <w:p>
            <w:pPr>
              <w:spacing w:after="0"/>
              <w:rPr>
                <w:sz w:val="1"/>
                <w:szCs w:val="1"/>
                <w:color w:val="auto"/>
              </w:rPr>
            </w:pPr>
          </w:p>
        </w:tc>
      </w:tr>
      <w:tr>
        <w:trPr>
          <w:trHeight w:val="20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common stock outstanding – basic and diluted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109,226,731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94,572,448</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87,820,037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(1.19 )</w:t>
            </w:r>
          </w:p>
        </w:tc>
        <w:tc>
          <w:tcPr>
            <w:tcW w:w="3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(1.08 )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0"/>
        </w:trPr>
        <w:tc>
          <w:tcPr>
            <w:tcW w:w="55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-7620</wp:posOffset>
            </wp:positionV>
            <wp:extent cx="603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03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August 2023, the Company completed a private placement, in which 13,196,671 shares of common stock were sold together with pre-funded warrants to purchase 2,340,579 shares of common stock with an exercise price of $0.0001 per share. The pre-funded warrants were classified as a component of permanent equity in the Company's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basic and diluted net loss per common share because the shares may be issued for little or no consideration, are fully vested and are exercisable after the original issuance date of the pre-funded warrants.</w:t>
      </w:r>
    </w:p>
    <w:p>
      <w:pPr>
        <w:spacing w:after="0" w:line="18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which include common stock options and unvested restricted common stock units,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52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9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0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19,615,023</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16,734,960</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12,924,086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1,209,333</w:t>
            </w:r>
          </w:p>
        </w:tc>
        <w:tc>
          <w:tcPr>
            <w:tcW w:w="2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757,514</w:t>
            </w:r>
          </w:p>
        </w:tc>
        <w:tc>
          <w:tcPr>
            <w:tcW w:w="2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20,824,356</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17,492,474</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12,924,086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229"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The Company operates in the U.S. and has one operating segment that is managed on a consolidated basis. The Company’s revenues are primarily generated through its license and collaboration agreement with Gilead. The accounting policies, as described in the summary of significant accounting policies, is applicable across all Company operations. The Company’s chief executive officer (CEO), as the chief operating decision maker (CODM), manages and allocates resources to the operations of our company on a consolidated basis. Managing and allocating resources on a total company basis enables the CODM to assess the overall level of resources available and how to best deploy these resources across departments and research and development programs that are in-line with our long-term company-wide strategic goals. Consistent with this decision-making process, the Company’s CODM uses consolidated, single-segment financial information for purposes of evaluating performance, forecasting future period financial results and allocating resources.</w:t>
      </w:r>
    </w:p>
    <w:p>
      <w:pPr>
        <w:spacing w:after="0" w:line="19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CODM assesses performance and decides how to allocate resources based on segment net income (loss). This measure is used to monitor budget versus actual results to assess performance of the segment.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Company’s segment expense for the years ended December 31, 2024, 2023 and 2022:</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8" w:name="page129"/>
    <w:bookmarkEnd w:id="128"/>
    <w:p>
      <w:pPr>
        <w:jc w:val="center"/>
        <w:ind w:left="4320"/>
        <w:spacing w:after="0"/>
        <w:rPr>
          <w:sz w:val="20"/>
          <w:szCs w:val="20"/>
          <w:color w:val="auto"/>
        </w:rPr>
      </w:pPr>
      <w:r>
        <w:rPr>
          <w:rFonts w:ascii="Times New Roman" w:cs="Times New Roman" w:eastAsia="Times New Roman" w:hAnsi="Times New Roman"/>
          <w:sz w:val="14"/>
          <w:szCs w:val="14"/>
          <w:b w:val="1"/>
          <w:bCs w:val="1"/>
          <w:color w:val="auto"/>
        </w:rPr>
        <w:t>Oncology Segment</w:t>
      </w:r>
    </w:p>
    <w:p>
      <w:pPr>
        <w:jc w:val="center"/>
        <w:ind w:left="4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bl>
      <w:tblPr>
        <w:tblLayout w:type="fixed"/>
        <w:tblInd w:w="300" w:type="dxa"/>
        <w:tblCellMar>
          <w:top w:w="0" w:type="dxa"/>
          <w:left w:w="0" w:type="dxa"/>
          <w:bottom w:w="0" w:type="dxa"/>
          <w:right w:w="0" w:type="dxa"/>
        </w:tblCellMar>
      </w:tblPr>
      <w:tr>
        <w:trPr>
          <w:trHeight w:val="142"/>
        </w:trPr>
        <w:tc>
          <w:tcPr>
            <w:tcW w:w="44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6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6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42"/>
        </w:trPr>
        <w:tc>
          <w:tcPr>
            <w:tcW w:w="4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42,069</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36,527</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24,860</w:t>
            </w:r>
          </w:p>
        </w:tc>
        <w:tc>
          <w:tcPr>
            <w:tcW w:w="100" w:type="dxa"/>
            <w:vAlign w:val="bottom"/>
            <w:shd w:val="clear" w:color="auto" w:fill="CFF0FC"/>
          </w:tcPr>
          <w:p>
            <w:pPr>
              <w:spacing w:after="0"/>
              <w:rPr>
                <w:sz w:val="18"/>
                <w:szCs w:val="18"/>
                <w:color w:val="auto"/>
              </w:rPr>
            </w:pPr>
          </w:p>
        </w:tc>
      </w:tr>
      <w:tr>
        <w:trPr>
          <w:trHeight w:val="239"/>
        </w:trPr>
        <w:tc>
          <w:tcPr>
            <w:tcW w:w="4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Less:</w:t>
            </w: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TNG462 direct program expenses - R&amp;D</w:t>
            </w:r>
          </w:p>
        </w:tc>
        <w:tc>
          <w:tcPr>
            <w:tcW w:w="1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16,161</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100" w:type="dxa"/>
            <w:vAlign w:val="bottom"/>
            <w:shd w:val="clear" w:color="auto" w:fill="CFF0FC"/>
          </w:tcPr>
          <w:p>
            <w:pPr>
              <w:spacing w:after="0"/>
              <w:rPr>
                <w:sz w:val="19"/>
                <w:szCs w:val="19"/>
                <w:color w:val="auto"/>
              </w:rPr>
            </w:pPr>
          </w:p>
        </w:tc>
      </w:tr>
      <w:tr>
        <w:trPr>
          <w:trHeight w:val="24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TNG456 direct program expenses - R&amp;D</w:t>
            </w:r>
          </w:p>
        </w:tc>
        <w:tc>
          <w:tcPr>
            <w:tcW w:w="1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TNG908 direct program expenses* - R&amp;D</w:t>
            </w: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13,587</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12,818</w:t>
            </w:r>
          </w:p>
        </w:tc>
        <w:tc>
          <w:tcPr>
            <w:tcW w:w="100" w:type="dxa"/>
            <w:vAlign w:val="bottom"/>
            <w:shd w:val="clear" w:color="auto" w:fill="CFF0FC"/>
          </w:tcPr>
          <w:p>
            <w:pPr>
              <w:spacing w:after="0"/>
              <w:rPr>
                <w:sz w:val="18"/>
                <w:szCs w:val="18"/>
                <w:color w:val="auto"/>
              </w:rPr>
            </w:pPr>
          </w:p>
        </w:tc>
      </w:tr>
      <w:tr>
        <w:trPr>
          <w:trHeight w:val="24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TNG260 direct program expenses - R&amp;D</w:t>
            </w:r>
          </w:p>
        </w:tc>
        <w:tc>
          <w:tcPr>
            <w:tcW w:w="1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9,382</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100" w:type="dxa"/>
            <w:vAlign w:val="bottom"/>
          </w:tcPr>
          <w:p>
            <w:pPr>
              <w:spacing w:after="0"/>
              <w:rPr>
                <w:sz w:val="21"/>
                <w:szCs w:val="2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TNG348 direct program expenses** - R&amp;D</w:t>
            </w: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100" w:type="dxa"/>
            <w:vAlign w:val="bottom"/>
            <w:shd w:val="clear" w:color="auto" w:fill="CFF0FC"/>
          </w:tcPr>
          <w:p>
            <w:pPr>
              <w:spacing w:after="0"/>
              <w:rPr>
                <w:sz w:val="18"/>
                <w:szCs w:val="18"/>
                <w:color w:val="auto"/>
              </w:rPr>
            </w:pPr>
          </w:p>
        </w:tc>
      </w:tr>
      <w:tr>
        <w:trPr>
          <w:trHeight w:val="24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Discovery direct program expenses - R&amp;D</w:t>
            </w:r>
          </w:p>
        </w:tc>
        <w:tc>
          <w:tcPr>
            <w:tcW w:w="1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24,440</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23,426</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28,763</w:t>
            </w:r>
          </w:p>
        </w:tc>
        <w:tc>
          <w:tcPr>
            <w:tcW w:w="100" w:type="dxa"/>
            <w:vAlign w:val="bottom"/>
          </w:tcPr>
          <w:p>
            <w:pPr>
              <w:spacing w:after="0"/>
              <w:rPr>
                <w:sz w:val="21"/>
                <w:szCs w:val="2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expenses - R&amp;D</w:t>
            </w: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51,457</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38,469</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28,185</w:t>
            </w:r>
          </w:p>
        </w:tc>
        <w:tc>
          <w:tcPr>
            <w:tcW w:w="100" w:type="dxa"/>
            <w:vAlign w:val="bottom"/>
            <w:shd w:val="clear" w:color="auto" w:fill="CFF0FC"/>
          </w:tcPr>
          <w:p>
            <w:pPr>
              <w:spacing w:after="0"/>
              <w:rPr>
                <w:sz w:val="18"/>
                <w:szCs w:val="18"/>
                <w:color w:val="auto"/>
              </w:rPr>
            </w:pPr>
          </w:p>
        </w:tc>
      </w:tr>
      <w:tr>
        <w:trPr>
          <w:trHeight w:val="24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Facilities and other related expenses - R&amp;D</w:t>
            </w:r>
          </w:p>
        </w:tc>
        <w:tc>
          <w:tcPr>
            <w:tcW w:w="1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18,884</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17,559</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14,154</w:t>
            </w:r>
          </w:p>
        </w:tc>
        <w:tc>
          <w:tcPr>
            <w:tcW w:w="100" w:type="dxa"/>
            <w:vAlign w:val="bottom"/>
          </w:tcPr>
          <w:p>
            <w:pPr>
              <w:spacing w:after="0"/>
              <w:rPr>
                <w:sz w:val="21"/>
                <w:szCs w:val="21"/>
                <w:color w:val="auto"/>
              </w:rPr>
            </w:pPr>
          </w:p>
        </w:tc>
      </w:tr>
      <w:tr>
        <w:trPr>
          <w:trHeight w:val="216"/>
        </w:trPr>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segment expenses (a)</w:t>
            </w:r>
          </w:p>
        </w:tc>
        <w:tc>
          <w:tcPr>
            <w:tcW w:w="1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28,453</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23,073</w:t>
            </w: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Segment net loss</w:t>
            </w:r>
          </w:p>
        </w:tc>
        <w:tc>
          <w:tcPr>
            <w:tcW w:w="114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(130,302 )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(101,744 )</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(108,176 )</w:t>
            </w:r>
          </w:p>
        </w:tc>
      </w:tr>
      <w:tr>
        <w:trPr>
          <w:trHeight w:val="20"/>
        </w:trPr>
        <w:tc>
          <w:tcPr>
            <w:tcW w:w="44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-170815</wp:posOffset>
            </wp:positionV>
            <wp:extent cx="60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-170815</wp:posOffset>
            </wp:positionV>
            <wp:extent cx="596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-170815</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right="20"/>
        <w:spacing w:after="0" w:line="266" w:lineRule="auto"/>
        <w:rPr>
          <w:sz w:val="20"/>
          <w:szCs w:val="20"/>
          <w:color w:val="auto"/>
        </w:rPr>
      </w:pPr>
      <w:r>
        <w:rPr>
          <w:rFonts w:ascii="Times New Roman" w:cs="Times New Roman" w:eastAsia="Times New Roman" w:hAnsi="Times New Roman"/>
          <w:sz w:val="18"/>
          <w:szCs w:val="18"/>
          <w:color w:val="auto"/>
        </w:rPr>
        <w:t>*In November 2024, we announced we stopped enrollment of the TNG908 Phase 1/2 clinical trial due to insufficient brain exposure for clinical activity in GBM patients and portfolio prioritization. Expenses beyond November 2024 related to previously enrolled patients and close-out clinical trial costs.</w:t>
      </w:r>
    </w:p>
    <w:p>
      <w:pPr>
        <w:spacing w:after="0" w:line="68" w:lineRule="exact"/>
        <w:rPr>
          <w:sz w:val="20"/>
          <w:szCs w:val="20"/>
          <w:color w:val="auto"/>
        </w:rPr>
      </w:pPr>
    </w:p>
    <w:p>
      <w:pPr>
        <w:ind w:left="520" w:right="380"/>
        <w:spacing w:after="0" w:line="282" w:lineRule="auto"/>
        <w:rPr>
          <w:sz w:val="20"/>
          <w:szCs w:val="20"/>
          <w:color w:val="auto"/>
        </w:rPr>
      </w:pPr>
      <w:r>
        <w:rPr>
          <w:rFonts w:ascii="Times New Roman" w:cs="Times New Roman" w:eastAsia="Times New Roman" w:hAnsi="Times New Roman"/>
          <w:sz w:val="18"/>
          <w:szCs w:val="18"/>
          <w:color w:val="auto"/>
        </w:rPr>
        <w:t>**In May 2024, we announced the discontinuation of TNG348, a USP1 inhibitor, due to toxicity observed in the dose escalation portion of our Phase 1/2 clinical trial. Expenses beyond May 2024 related to close-out clinical trial costs.</w:t>
      </w:r>
    </w:p>
    <w:p>
      <w:pPr>
        <w:spacing w:after="0" w:line="54" w:lineRule="exact"/>
        <w:rPr>
          <w:sz w:val="20"/>
          <w:szCs w:val="20"/>
          <w:color w:val="auto"/>
        </w:rPr>
      </w:pPr>
    </w:p>
    <w:p>
      <w:pPr>
        <w:ind w:left="520" w:right="80" w:hanging="3"/>
        <w:spacing w:after="0" w:line="282" w:lineRule="auto"/>
        <w:tabs>
          <w:tab w:leader="none" w:pos="7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included in Segment net loss includes general and administrative expense, interest income, other income and provision for income taxes.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 as total consolidated assets. The CODM reviews cash, cash equivalents and marketable securities as a measure of segment assets. As of December 31, 2024, the Company’s cash, cash equivalents and marketable securities were $257.9 million. All long-lived assets of the Company reside in the U.S.</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7" w:right="399"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TANGO THERAPEUTICS, INC.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37" w:lineRule="exact"/>
        <w:rPr>
          <w:sz w:val="20"/>
          <w:szCs w:val="20"/>
          <w:color w:val="auto"/>
        </w:rPr>
      </w:pPr>
    </w:p>
    <w:p>
      <w:pPr>
        <w:ind w:right="380" w:firstLine="749"/>
        <w:spacing w:after="0" w:line="238" w:lineRule="auto"/>
        <w:rPr>
          <w:sz w:val="20"/>
          <w:szCs w:val="20"/>
          <w:color w:val="auto"/>
        </w:rPr>
      </w:pPr>
      <w:r>
        <w:rPr>
          <w:rFonts w:ascii="Times New Roman" w:cs="Times New Roman" w:eastAsia="Times New Roman" w:hAnsi="Times New Roman"/>
          <w:sz w:val="22"/>
          <w:szCs w:val="22"/>
          <w:color w:val="auto"/>
        </w:rPr>
        <w:t>This Insider Trading Policy (the “Insider Trading Policy”) is designed to prevent insider trading or the appearance of impropriety, to satisfy the obligations of Tango Therapeutics, Inc. and its subsidiaries (collectively, the “Company”) to reasonably supervise the activities of Company personnel, and to help Company personnel avoid the severe consequences associated with violations of insider trading laws. It is your obligation to understand and comply with this Insider Trading Policy.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 OVERVIEW</w:t>
      </w:r>
    </w:p>
    <w:p>
      <w:pPr>
        <w:spacing w:after="0" w:line="312" w:lineRule="exact"/>
        <w:rPr>
          <w:sz w:val="20"/>
          <w:szCs w:val="20"/>
          <w:color w:val="auto"/>
        </w:rPr>
      </w:pPr>
    </w:p>
    <w:p>
      <w:pPr>
        <w:ind w:left="440" w:hanging="432"/>
        <w:spacing w:after="0"/>
        <w:tabs>
          <w:tab w:leader="none" w:pos="440" w:val="left"/>
        </w:tabs>
        <w:numPr>
          <w:ilvl w:val="0"/>
          <w:numId w:val="5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To Whom does this Insider Trading Policy Apply?</w:t>
      </w:r>
    </w:p>
    <w:p>
      <w:pPr>
        <w:spacing w:after="0" w:line="212"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auto"/>
        </w:rPr>
        <w:t>This Insider Trading Policy is applicable to the Company’s directors, officers, employees and designated consultants and applies to any and all transactions by such persons and their affiliates (as defined below) in the Company’s securities, including its common stock, options to purchase common stock, any other type of securities that the Company may issue (such as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w:t>
      </w:r>
    </w:p>
    <w:p>
      <w:pPr>
        <w:spacing w:after="0" w:line="181"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In addition, all directors, all officers, and certain designated employees and consultants must comply with the Trading Procedures set forth in Part II of this Insider Trading Policy (the “Trading Procedures”) (collectively, and solely for the purposes of this Insider Trading Policy, these persons are referred to as “Insiders”). Generally, the Trading Procedures require the pre-clearance of all transactions in the Company’s securities by such persons. You will be notified if you are required to comply with the Trading Procedures.</w:t>
      </w:r>
    </w:p>
    <w:p>
      <w:pPr>
        <w:spacing w:after="0" w:line="177" w:lineRule="exact"/>
        <w:rPr>
          <w:sz w:val="20"/>
          <w:szCs w:val="20"/>
          <w:color w:val="auto"/>
        </w:rPr>
      </w:pPr>
    </w:p>
    <w:p>
      <w:pPr>
        <w:ind w:right="720" w:firstLine="749"/>
        <w:spacing w:after="0" w:line="258" w:lineRule="auto"/>
        <w:rPr>
          <w:sz w:val="20"/>
          <w:szCs w:val="20"/>
          <w:color w:val="auto"/>
        </w:rPr>
      </w:pPr>
      <w:r>
        <w:rPr>
          <w:rFonts w:ascii="Times New Roman" w:cs="Times New Roman" w:eastAsia="Times New Roman" w:hAnsi="Times New Roman"/>
          <w:sz w:val="22"/>
          <w:szCs w:val="22"/>
          <w:color w:val="auto"/>
        </w:rPr>
        <w:t>This Insider Trading Policy, including, if applicable, the Trading Procedures contained herein, also applies to the following persons (collectively, these persons and entities are referred to as “Affiliated Persons”):</w:t>
      </w:r>
    </w:p>
    <w:p>
      <w:pPr>
        <w:spacing w:after="0" w:line="158" w:lineRule="exact"/>
        <w:rPr>
          <w:sz w:val="20"/>
          <w:szCs w:val="20"/>
          <w:color w:val="auto"/>
        </w:rPr>
      </w:pPr>
    </w:p>
    <w:p>
      <w:pPr>
        <w:ind w:left="1500" w:right="20" w:hanging="743"/>
        <w:spacing w:after="0" w:line="253" w:lineRule="auto"/>
        <w:tabs>
          <w:tab w:leader="none" w:pos="150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“Family Members” (“</w:t>
      </w:r>
      <w:r>
        <w:rPr>
          <w:rFonts w:ascii="Times New Roman" w:cs="Times New Roman" w:eastAsia="Times New Roman" w:hAnsi="Times New Roman"/>
          <w:sz w:val="21"/>
          <w:szCs w:val="21"/>
          <w:u w:val="single" w:color="auto"/>
          <w:color w:val="auto"/>
        </w:rPr>
        <w:t>Family Members</w:t>
      </w:r>
      <w:r>
        <w:rPr>
          <w:rFonts w:ascii="Times New Roman" w:cs="Times New Roman" w:eastAsia="Times New Roman" w:hAnsi="Times New Roman"/>
          <w:sz w:val="21"/>
          <w:szCs w:val="21"/>
          <w:color w:val="auto"/>
        </w:rPr>
        <w:t>” are (a) your spouse or domestic partner, children, stepchildren, grandchildren, parents, stepparents, grandparents, siblings and in-laws who reside in the same household as you,</w:t>
      </w:r>
    </w:p>
    <w:p>
      <w:pPr>
        <w:ind w:left="1500" w:right="180"/>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your children or your spouse’s children who do not reside in the same household as you but are financially dependent on you, (c) any of your other family members who do not reside in your household but whose transactions are directed by you, and (d) any other individual over whose account you have control and to whose financial support you materially contribute. (Materially contributing to financial support would include, for example, paying an individual’s rent but not just a phone bill.);</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0" w:name="page131"/>
    <w:bookmarkEnd w:id="130"/>
    <w:p>
      <w:pPr>
        <w:ind w:left="1500" w:right="80" w:hanging="743"/>
        <w:spacing w:after="0" w:line="244" w:lineRule="auto"/>
        <w:tabs>
          <w:tab w:leader="none" w:pos="15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trusts, family partnerships and other types of entities formed for your benefit of the Insider or for the benefit of a member of your family over which you have the ability to influence or direct investment decisions concerning securities;</w:t>
      </w:r>
    </w:p>
    <w:p>
      <w:pPr>
        <w:spacing w:after="0" w:line="173"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persons who execute trades on your behalf; and</w:t>
      </w:r>
    </w:p>
    <w:p>
      <w:pPr>
        <w:spacing w:after="0" w:line="206" w:lineRule="exact"/>
        <w:rPr>
          <w:rFonts w:ascii="Times New Roman" w:cs="Times New Roman" w:eastAsia="Times New Roman" w:hAnsi="Times New Roman"/>
          <w:sz w:val="22"/>
          <w:szCs w:val="22"/>
          <w:color w:val="auto"/>
        </w:rPr>
      </w:pPr>
    </w:p>
    <w:p>
      <w:pPr>
        <w:ind w:left="1500" w:right="100" w:hanging="743"/>
        <w:spacing w:after="0" w:line="245" w:lineRule="auto"/>
        <w:tabs>
          <w:tab w:leader="none" w:pos="150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investment funds, trusts, retirement plans, partnerships, corporations and other types of entities over which you have the ability to influence or direct investment decisions concerning securities;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Trading Procedures shall not apply to any such entity that engages in the investment of securities in the ordinary course of its business (e.g., an investment fund or partnership) if such entity has established its own insider trading controls and procedures in compliance with applicable securities laws and an Insider has hereby represented to the Company that such Insider’s affiliated entities: (a) engage in the investment of securities in the ordinary course of their respective businesses; (b) have established insider trading controls and procedures in compliance with applicable securities laws; and (c) are aware such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177" w:lineRule="exact"/>
        <w:rPr>
          <w:sz w:val="20"/>
          <w:szCs w:val="20"/>
          <w:color w:val="auto"/>
        </w:rPr>
      </w:pPr>
    </w:p>
    <w:p>
      <w:pPr>
        <w:ind w:right="760" w:firstLine="749"/>
        <w:spacing w:after="0" w:line="258" w:lineRule="auto"/>
        <w:rPr>
          <w:sz w:val="20"/>
          <w:szCs w:val="20"/>
          <w:color w:val="auto"/>
        </w:rPr>
      </w:pPr>
      <w:r>
        <w:rPr>
          <w:rFonts w:ascii="Times New Roman" w:cs="Times New Roman" w:eastAsia="Times New Roman" w:hAnsi="Times New Roman"/>
          <w:sz w:val="22"/>
          <w:szCs w:val="22"/>
          <w:color w:val="auto"/>
        </w:rPr>
        <w:t>You are responsible for ensuring compliance with this Insider Trading Policy, including the Trading Procedures contained herein, by all of your Affiliated Persons.</w:t>
      </w:r>
    </w:p>
    <w:p>
      <w:pPr>
        <w:spacing w:after="0" w:line="152" w:lineRule="exact"/>
        <w:rPr>
          <w:sz w:val="20"/>
          <w:szCs w:val="20"/>
          <w:color w:val="auto"/>
        </w:rPr>
      </w:pPr>
    </w:p>
    <w:p>
      <w:pPr>
        <w:ind w:left="440" w:hanging="432"/>
        <w:spacing w:after="0"/>
        <w:tabs>
          <w:tab w:leader="none" w:pos="440" w:val="left"/>
        </w:tabs>
        <w:numPr>
          <w:ilvl w:val="0"/>
          <w:numId w:val="6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is Prohibited by this Insider Trading Policy?</w:t>
      </w:r>
    </w:p>
    <w:p>
      <w:pPr>
        <w:spacing w:after="0" w:line="212" w:lineRule="exact"/>
        <w:rPr>
          <w:sz w:val="20"/>
          <w:szCs w:val="20"/>
          <w:color w:val="auto"/>
        </w:rPr>
      </w:pPr>
    </w:p>
    <w:p>
      <w:pPr>
        <w:ind w:right="160" w:firstLine="749"/>
        <w:spacing w:after="0" w:line="236" w:lineRule="auto"/>
        <w:rPr>
          <w:sz w:val="20"/>
          <w:szCs w:val="20"/>
          <w:color w:val="auto"/>
        </w:rPr>
      </w:pPr>
      <w:r>
        <w:rPr>
          <w:rFonts w:ascii="Times New Roman" w:cs="Times New Roman" w:eastAsia="Times New Roman" w:hAnsi="Times New Roman"/>
          <w:sz w:val="22"/>
          <w:szCs w:val="22"/>
          <w:color w:val="auto"/>
        </w:rPr>
        <w:t>You and your Affiliated Persons are prohibited from engaging in insider trading and from trading in securities in violation of this Insider Trading Policy. “Insider trading” is (1) trading (buying or selling) the securities of a company whether for your account or for the account of another, while in the possession of material nonpublic information (see definition below) about that company or (2) disclosing material nonpublic information about a company to others who may trade on the basis of that information. Insider trading can result in criminal prosecution, jail time, significant fines and public embarrassment for you and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Prohibition on Trading in Company Securities</w:t>
      </w:r>
    </w:p>
    <w:p>
      <w:pPr>
        <w:spacing w:after="0" w:line="210"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When you know or are in possession of material, nonpublic information about the Company, whether positive or negative, you are prohibited from trading (whether for your account of for the account of another) in the Company’s securities, which includes common stock, options to purchase common stock, any other type of securities that the Company may issue (such as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 except for trades made pursuant to plans approved by our General Counsel or their designee(s) (each, the “Compliance Officer”) in</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2"/>
          <w:szCs w:val="22"/>
          <w:color w:val="auto"/>
        </w:rPr>
        <w:t>accordance with this policy that are intended to comply with Rule 10b5-1 under the Exchange Act.</w:t>
      </w:r>
    </w:p>
    <w:p>
      <w:pPr>
        <w:spacing w:after="0" w:line="206" w:lineRule="exact"/>
        <w:rPr>
          <w:sz w:val="20"/>
          <w:szCs w:val="20"/>
          <w:color w:val="auto"/>
        </w:rPr>
      </w:pPr>
    </w:p>
    <w:p>
      <w:pPr>
        <w:ind w:right="120" w:firstLine="749"/>
        <w:spacing w:after="0" w:line="238" w:lineRule="auto"/>
        <w:rPr>
          <w:sz w:val="20"/>
          <w:szCs w:val="20"/>
          <w:color w:val="auto"/>
        </w:rPr>
      </w:pPr>
      <w:r>
        <w:rPr>
          <w:rFonts w:ascii="Times New Roman" w:cs="Times New Roman" w:eastAsia="Times New Roman" w:hAnsi="Times New Roman"/>
          <w:sz w:val="22"/>
          <w:szCs w:val="22"/>
          <w:color w:val="auto"/>
        </w:rPr>
        <w:t>This Insider Trading Policy does not apply to: (1) an exercise of an employee stock option when payment of the exercise price is made in cash or (2)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w:t>
      </w:r>
    </w:p>
    <w:p>
      <w:pPr>
        <w:spacing w:after="0" w:line="177" w:lineRule="exact"/>
        <w:rPr>
          <w:sz w:val="20"/>
          <w:szCs w:val="20"/>
          <w:color w:val="auto"/>
        </w:rPr>
      </w:pPr>
    </w:p>
    <w:p>
      <w:pPr>
        <w:jc w:val="both"/>
        <w:ind w:right="100" w:firstLine="749"/>
        <w:spacing w:after="0" w:line="244" w:lineRule="auto"/>
        <w:rPr>
          <w:sz w:val="20"/>
          <w:szCs w:val="20"/>
          <w:color w:val="auto"/>
        </w:rPr>
      </w:pPr>
      <w:r>
        <w:rPr>
          <w:rFonts w:ascii="Times New Roman" w:cs="Times New Roman" w:eastAsia="Times New Roman" w:hAnsi="Times New Roman"/>
          <w:sz w:val="22"/>
          <w:szCs w:val="22"/>
          <w:color w:val="auto"/>
        </w:rPr>
        <w:t>The policy does apply, however, to: the use of outstanding Company securities to pay part or all of the exercise price of an option, any sale of stock as part of a broker-assisted cashless exercise of an option or any other market sale for the purpose of generating the cash needed to pay the exercise price of an option.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Prohibition on Tipping</w:t>
      </w:r>
    </w:p>
    <w:p>
      <w:pPr>
        <w:spacing w:after="0" w:line="210"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Providing material nonpublic information about the Company to another person who may trade or advise others to trade on the basis of that information is known as “</w:t>
      </w:r>
      <w:r>
        <w:rPr>
          <w:rFonts w:ascii="Times New Roman" w:cs="Times New Roman" w:eastAsia="Times New Roman" w:hAnsi="Times New Roman"/>
          <w:sz w:val="22"/>
          <w:szCs w:val="22"/>
          <w:u w:val="single" w:color="auto"/>
          <w:color w:val="auto"/>
        </w:rPr>
        <w:t>tipping</w:t>
      </w:r>
      <w:r>
        <w:rPr>
          <w:rFonts w:ascii="Times New Roman" w:cs="Times New Roman" w:eastAsia="Times New Roman" w:hAnsi="Times New Roman"/>
          <w:sz w:val="22"/>
          <w:szCs w:val="22"/>
          <w:color w:val="auto"/>
        </w:rPr>
        <w:t>” and is illegal. You are prohibited from providing material nonpublic information about the Company to a friend, relative or anyone else who might buy or sell a security or other financial instrument on the basis of that information, whether or not you intend to or actually do realize a profit (or any other benefit) from such tipping. Additionally, you are prohibited from recommending to any person that such person engage in or refrain from engaging in any transaction involving the Company’s securities, or otherwise give trading advice concerning the Company’s securities, if you are in possession of material nonpublic information about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Prohibition on Trading in Securities of Other Companies</w:t>
      </w:r>
    </w:p>
    <w:p>
      <w:pPr>
        <w:spacing w:after="0" w:line="210" w:lineRule="exact"/>
        <w:rPr>
          <w:sz w:val="20"/>
          <w:szCs w:val="20"/>
          <w:color w:val="auto"/>
        </w:rPr>
      </w:pPr>
    </w:p>
    <w:p>
      <w:pPr>
        <w:ind w:right="120" w:firstLine="749"/>
        <w:spacing w:after="0" w:line="238" w:lineRule="auto"/>
        <w:rPr>
          <w:sz w:val="20"/>
          <w:szCs w:val="20"/>
          <w:color w:val="auto"/>
        </w:rPr>
      </w:pPr>
      <w:r>
        <w:rPr>
          <w:rFonts w:ascii="Times New Roman" w:cs="Times New Roman" w:eastAsia="Times New Roman" w:hAnsi="Times New Roman"/>
          <w:sz w:val="22"/>
          <w:szCs w:val="22"/>
          <w:color w:val="auto"/>
        </w:rPr>
        <w:t>Whenever, during the course of your service to or employment by the Company, you become aware of material nonpublic information about another company, including any confidential information that is reasonably likely to affect the market price of that company’s securities (for example, discussions of licensing a product or acquiring that other company), neither you nor your Affiliated Persons may trade in any securities of that company, give trading advice about that company, tip or disclose that information, pass it on to others or engage in any other action to take advantage of that information.</w:t>
      </w:r>
    </w:p>
    <w:p>
      <w:pPr>
        <w:spacing w:after="0" w:line="177" w:lineRule="exact"/>
        <w:rPr>
          <w:sz w:val="20"/>
          <w:szCs w:val="20"/>
          <w:color w:val="auto"/>
        </w:rPr>
      </w:pPr>
    </w:p>
    <w:p>
      <w:pPr>
        <w:ind w:right="520" w:firstLine="749"/>
        <w:spacing w:after="0" w:line="258" w:lineRule="auto"/>
        <w:rPr>
          <w:sz w:val="20"/>
          <w:szCs w:val="20"/>
          <w:color w:val="auto"/>
        </w:rPr>
      </w:pPr>
      <w:r>
        <w:rPr>
          <w:rFonts w:ascii="Times New Roman" w:cs="Times New Roman" w:eastAsia="Times New Roman" w:hAnsi="Times New Roman"/>
          <w:sz w:val="22"/>
          <w:szCs w:val="22"/>
          <w:color w:val="auto"/>
        </w:rPr>
        <w:t>If your work regularly involves handling or discussing confidential information of one of our partners, suppliers or customers, you should consult with the Compliance Officer before trading in any of that company’s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Prohibited Transactions</w:t>
      </w:r>
    </w:p>
    <w:p>
      <w:pPr>
        <w:spacing w:after="0" w:line="204" w:lineRule="exact"/>
        <w:rPr>
          <w:sz w:val="20"/>
          <w:szCs w:val="20"/>
          <w:color w:val="auto"/>
        </w:rPr>
      </w:pPr>
    </w:p>
    <w:p>
      <w:pPr>
        <w:ind w:left="1880" w:right="60" w:hanging="375"/>
        <w:spacing w:after="0" w:line="264" w:lineRule="auto"/>
        <w:tabs>
          <w:tab w:leader="none" w:pos="18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Short Sales</w:t>
      </w:r>
      <w:r>
        <w:rPr>
          <w:rFonts w:ascii="Times New Roman" w:cs="Times New Roman" w:eastAsia="Times New Roman" w:hAnsi="Times New Roman"/>
          <w:sz w:val="22"/>
          <w:szCs w:val="22"/>
          <w:color w:val="auto"/>
        </w:rPr>
        <w:t>. You may at any time sell any securities of the Company that you do not own at the time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sale (a “short sale”).</w:t>
      </w:r>
    </w:p>
    <w:p>
      <w:pPr>
        <w:spacing w:after="0" w:line="145" w:lineRule="exact"/>
        <w:rPr>
          <w:rFonts w:ascii="Times New Roman" w:cs="Times New Roman" w:eastAsia="Times New Roman" w:hAnsi="Times New Roman"/>
          <w:sz w:val="22"/>
          <w:szCs w:val="22"/>
          <w:color w:val="auto"/>
        </w:rPr>
      </w:pPr>
    </w:p>
    <w:p>
      <w:pPr>
        <w:ind w:left="1880" w:hanging="375"/>
        <w:spacing w:after="0" w:line="264" w:lineRule="auto"/>
        <w:tabs>
          <w:tab w:leader="none" w:pos="18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Purchases or Sales of Derivative Securities or Hedging Transactions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You may buy or sell puts, calls,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other derivative securities of the Company or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32" w:name="page133"/>
    <w:bookmarkEnd w:id="132"/>
    <w:p>
      <w:pPr>
        <w:ind w:left="1880" w:right="440"/>
        <w:spacing w:after="0" w:line="261" w:lineRule="auto"/>
        <w:rPr>
          <w:sz w:val="20"/>
          <w:szCs w:val="20"/>
          <w:color w:val="auto"/>
        </w:rPr>
      </w:pPr>
      <w:r>
        <w:rPr>
          <w:rFonts w:ascii="Times New Roman" w:cs="Times New Roman" w:eastAsia="Times New Roman" w:hAnsi="Times New Roman"/>
          <w:sz w:val="21"/>
          <w:szCs w:val="21"/>
          <w:color w:val="auto"/>
        </w:rPr>
        <w:t>any derivative securities that provide the economic equivalent of ownership of any of the Company’s securities or an opportunity, direct or indirect, to profit from any change in the value of the Company’s</w:t>
      </w:r>
    </w:p>
    <w:p>
      <w:pPr>
        <w:ind w:left="1880"/>
        <w:spacing w:after="0"/>
        <w:rPr>
          <w:sz w:val="20"/>
          <w:szCs w:val="20"/>
          <w:color w:val="auto"/>
        </w:rPr>
      </w:pPr>
      <w:r>
        <w:rPr>
          <w:rFonts w:ascii="Times New Roman" w:cs="Times New Roman" w:eastAsia="Times New Roman" w:hAnsi="Times New Roman"/>
          <w:sz w:val="21"/>
          <w:szCs w:val="21"/>
          <w:color w:val="auto"/>
        </w:rPr>
        <w:t>securities or engage in any other hedging transaction with respect to the Company’s securities, at any time.</w:t>
      </w:r>
    </w:p>
    <w:p>
      <w:pPr>
        <w:spacing w:after="0" w:line="199" w:lineRule="exact"/>
        <w:rPr>
          <w:sz w:val="20"/>
          <w:szCs w:val="20"/>
          <w:color w:val="auto"/>
        </w:rPr>
      </w:pPr>
    </w:p>
    <w:p>
      <w:pPr>
        <w:ind w:left="1880" w:right="120" w:hanging="375"/>
        <w:spacing w:after="0" w:line="264" w:lineRule="auto"/>
        <w:tabs>
          <w:tab w:leader="none" w:pos="18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Company Securities Subject to Margin Calls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You may use the Company’s securities as collateral in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margin account.</w:t>
      </w:r>
    </w:p>
    <w:p>
      <w:pPr>
        <w:spacing w:after="0" w:line="145" w:lineRule="exact"/>
        <w:rPr>
          <w:rFonts w:ascii="Times New Roman" w:cs="Times New Roman" w:eastAsia="Times New Roman" w:hAnsi="Times New Roman"/>
          <w:sz w:val="22"/>
          <w:szCs w:val="22"/>
          <w:color w:val="auto"/>
        </w:rPr>
      </w:pPr>
    </w:p>
    <w:p>
      <w:pPr>
        <w:ind w:left="1880" w:hanging="375"/>
        <w:spacing w:after="0"/>
        <w:tabs>
          <w:tab w:leader="none" w:pos="18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Pledges</w:t>
      </w:r>
      <w:r>
        <w:rPr>
          <w:rFonts w:ascii="Times New Roman" w:cs="Times New Roman" w:eastAsia="Times New Roman" w:hAnsi="Times New Roman"/>
          <w:sz w:val="22"/>
          <w:szCs w:val="22"/>
          <w:color w:val="auto"/>
        </w:rPr>
        <w:t>. You may pledge Company securities as collateral for a loan (or modify an existing pledge).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Closed Trading Periods</w:t>
      </w:r>
    </w:p>
    <w:p>
      <w:pPr>
        <w:spacing w:after="0" w:line="210" w:lineRule="exact"/>
        <w:rPr>
          <w:sz w:val="20"/>
          <w:szCs w:val="20"/>
          <w:color w:val="auto"/>
        </w:rPr>
      </w:pPr>
    </w:p>
    <w:p>
      <w:pPr>
        <w:ind w:right="80" w:firstLine="749"/>
        <w:spacing w:after="0" w:line="234" w:lineRule="auto"/>
        <w:rPr>
          <w:sz w:val="20"/>
          <w:szCs w:val="20"/>
          <w:color w:val="auto"/>
        </w:rPr>
      </w:pPr>
      <w:r>
        <w:rPr>
          <w:rFonts w:ascii="Times New Roman" w:cs="Times New Roman" w:eastAsia="Times New Roman" w:hAnsi="Times New Roman"/>
          <w:sz w:val="22"/>
          <w:szCs w:val="22"/>
          <w:color w:val="auto"/>
        </w:rPr>
        <w:t>The Compliance Officer may designate, from time to time, a “</w:t>
      </w:r>
      <w:r>
        <w:rPr>
          <w:rFonts w:ascii="Times New Roman" w:cs="Times New Roman" w:eastAsia="Times New Roman" w:hAnsi="Times New Roman"/>
          <w:sz w:val="22"/>
          <w:szCs w:val="22"/>
          <w:u w:val="single" w:color="auto"/>
          <w:color w:val="auto"/>
        </w:rPr>
        <w:t>Special Closed Window</w:t>
      </w:r>
      <w:r>
        <w:rPr>
          <w:rFonts w:ascii="Times New Roman" w:cs="Times New Roman" w:eastAsia="Times New Roman" w:hAnsi="Times New Roman"/>
          <w:sz w:val="22"/>
          <w:szCs w:val="22"/>
          <w:color w:val="auto"/>
        </w:rPr>
        <w:t>” during what would be a permitted trading window that applies to specified employees, directors, or consultants, or, in rare instances, all persons covered by this policy. In such event, you will be notified by e-mail and/or other means of the imposition and expected duration of the trading prohibition. During that period, no person covered by such a notice may trade in our securities (subject to the limited exceptions set forth in this policy). The Compliance Officer may also impose a Special Closed Window to prohibit trading in the securities of other companies, including specified peers or competitors of the Company. The imposition of a Special Closed Window may not be announced to the Company generally, should not be communicated to any other person unless permitted by the Compliance Officer, and may itself be considered under this Insider Trading Policy to be material nonpublic information about the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Gifts and Other Distributions in Kind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2"/>
          <w:szCs w:val="22"/>
          <w:color w:val="auto"/>
        </w:rPr>
        <w:t>You may not donate or make any other transfer of Company securities without consideration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a gift) during a period when you are not permitted to trade unless the donee agrees not to sell the shares until such time as you are permitted to sell. In addition to charitable donations or gifts to family members, friends, trusts or others, this prohibition applies to distributions to limited partners by limited partnerships that are subject to this Insider Trading Policy.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Duration of Trading Prohibitions</w:t>
      </w:r>
    </w:p>
    <w:p>
      <w:pPr>
        <w:spacing w:after="0" w:line="210"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These prohibitions continue whenever and for as long as you know or are in possession of material, nonpublic information. Remember, anyone scrutinizing your transactions will be doing so after the fact, with the benefit of hindsight. As a practical matter, before engaging in any transaction, you should carefully consider how enforcement authorities and others might view the transaction in hindsight.</w:t>
      </w:r>
    </w:p>
    <w:p>
      <w:pPr>
        <w:spacing w:after="0" w:line="180" w:lineRule="exact"/>
        <w:rPr>
          <w:sz w:val="20"/>
          <w:szCs w:val="20"/>
          <w:color w:val="auto"/>
        </w:rPr>
      </w:pPr>
    </w:p>
    <w:p>
      <w:pPr>
        <w:ind w:right="120" w:firstLine="749"/>
        <w:spacing w:after="0" w:line="239" w:lineRule="auto"/>
        <w:rPr>
          <w:sz w:val="20"/>
          <w:szCs w:val="20"/>
          <w:color w:val="auto"/>
        </w:rPr>
      </w:pPr>
      <w:r>
        <w:rPr>
          <w:rFonts w:ascii="Times New Roman" w:cs="Times New Roman" w:eastAsia="Times New Roman" w:hAnsi="Times New Roman"/>
          <w:sz w:val="22"/>
          <w:szCs w:val="22"/>
          <w:color w:val="auto"/>
        </w:rPr>
        <w:t>This Insider Trading Policy applies to you and your Affiliated Persons so long as you are associated with the Company. In the event that you leave the Company for any reason, this Insider Trading Policy, including, if applicable, the Trading Procedures contained herein, will continue to apply to you and your Affiliated Persons until the later of: (1) the second trading day</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33" w:name="page134"/>
    <w:bookmarkEnd w:id="133"/>
    <w:p>
      <w:pPr>
        <w:ind w:right="60"/>
        <w:spacing w:after="0" w:line="258" w:lineRule="auto"/>
        <w:rPr>
          <w:sz w:val="20"/>
          <w:szCs w:val="20"/>
          <w:color w:val="auto"/>
        </w:rPr>
      </w:pPr>
      <w:r>
        <w:rPr>
          <w:rFonts w:ascii="Times New Roman" w:cs="Times New Roman" w:eastAsia="Times New Roman" w:hAnsi="Times New Roman"/>
          <w:sz w:val="22"/>
          <w:szCs w:val="22"/>
          <w:color w:val="auto"/>
        </w:rPr>
        <w:t>following the public release of earnings for the fiscal quarter in which you leave the Company or (2) the second trading day after any material nonpublic information known to you has become public or is no longer material.</w:t>
      </w:r>
    </w:p>
    <w:p>
      <w:pPr>
        <w:spacing w:after="0" w:line="152" w:lineRule="exact"/>
        <w:rPr>
          <w:sz w:val="20"/>
          <w:szCs w:val="20"/>
          <w:color w:val="auto"/>
        </w:rPr>
      </w:pPr>
    </w:p>
    <w:p>
      <w:pPr>
        <w:ind w:left="440" w:hanging="432"/>
        <w:spacing w:after="0"/>
        <w:tabs>
          <w:tab w:leader="none" w:pos="440" w:val="left"/>
        </w:tabs>
        <w:numPr>
          <w:ilvl w:val="0"/>
          <w:numId w:val="6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is Material, Nonpublic Information?</w:t>
      </w:r>
    </w:p>
    <w:p>
      <w:pPr>
        <w:spacing w:after="0" w:line="212"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This Insider Trading Policy prohibits you from trading in the Company’s securities if you are in possession of information about the Company that is both “</w:t>
      </w:r>
      <w:r>
        <w:rPr>
          <w:rFonts w:ascii="Times New Roman" w:cs="Times New Roman" w:eastAsia="Times New Roman" w:hAnsi="Times New Roman"/>
          <w:sz w:val="22"/>
          <w:szCs w:val="22"/>
          <w:i w:val="1"/>
          <w:iCs w:val="1"/>
          <w:color w:val="auto"/>
        </w:rPr>
        <w:t>material</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nonpublic</w:t>
      </w:r>
      <w:r>
        <w:rPr>
          <w:rFonts w:ascii="Times New Roman" w:cs="Times New Roman" w:eastAsia="Times New Roman" w:hAnsi="Times New Roman"/>
          <w:sz w:val="22"/>
          <w:szCs w:val="22"/>
          <w:color w:val="auto"/>
        </w:rPr>
        <w:t>.” If you have a question whether certain information you are aware of is material or has been made public, you are encouraged to consult with the Compliance Officer.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“Material” Information</w:t>
      </w:r>
    </w:p>
    <w:p>
      <w:pPr>
        <w:spacing w:after="0" w:line="210"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auto"/>
        </w:rPr>
        <w:t>Information about the Company is “material” if it could reasonably be expected to affect the investment or voting decisions of a stockholder or investor, or if the disclosure of the information could reasonably be expected to significantly alter the total mix of information in the marketplace about the Company. In simple terms, material information is any type of information that could reasonably be expected to affect the market price of the Company’s securities. Both positive and negative information may be material. While it is not possible to identify all information that would be deemed “material,” the following items are examples of the types of information that could be material:</w:t>
      </w:r>
    </w:p>
    <w:p>
      <w:pPr>
        <w:spacing w:after="0" w:line="181" w:lineRule="exact"/>
        <w:rPr>
          <w:sz w:val="20"/>
          <w:szCs w:val="20"/>
          <w:color w:val="auto"/>
        </w:rPr>
      </w:pPr>
    </w:p>
    <w:p>
      <w:pPr>
        <w:ind w:left="1500" w:right="440" w:hanging="743"/>
        <w:spacing w:after="0" w:line="244" w:lineRule="auto"/>
        <w:tabs>
          <w:tab w:leader="none" w:pos="15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any programs in preclinical or clinical development, including recent regulatory interaction and/or data that have been recently generated from ongoing or recently completed preclinical or clinical trials;</w:t>
      </w:r>
    </w:p>
    <w:p>
      <w:pPr>
        <w:spacing w:after="0" w:line="65" w:lineRule="exact"/>
        <w:rPr>
          <w:rFonts w:ascii="Times New Roman" w:cs="Times New Roman" w:eastAsia="Times New Roman" w:hAnsi="Times New Roman"/>
          <w:sz w:val="22"/>
          <w:szCs w:val="22"/>
          <w:color w:val="auto"/>
        </w:rPr>
      </w:pPr>
    </w:p>
    <w:p>
      <w:pPr>
        <w:ind w:left="1500" w:right="220" w:hanging="743"/>
        <w:spacing w:after="0" w:line="258" w:lineRule="auto"/>
        <w:tabs>
          <w:tab w:leader="none" w:pos="15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the intellectual property and/or freedom to operate for any of the current programs or product candidates under development;</w:t>
      </w:r>
    </w:p>
    <w:p>
      <w:pPr>
        <w:spacing w:after="0" w:line="50"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 or other earnings guidance;</w:t>
      </w:r>
    </w:p>
    <w:p>
      <w:pPr>
        <w:spacing w:after="0" w:line="9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or revenue that are inconsistent with the consensus expectations of the investment community;</w:t>
      </w:r>
    </w:p>
    <w:p>
      <w:pPr>
        <w:spacing w:after="0" w:line="98"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restatements of the Company’s financial statements, changes in auditors or auditor notification that the Company may no longer rely on an auditor’s audit report;</w:t>
      </w:r>
    </w:p>
    <w:p>
      <w:pPr>
        <w:spacing w:after="0" w:line="50" w:lineRule="exact"/>
        <w:rPr>
          <w:rFonts w:ascii="Times New Roman" w:cs="Times New Roman" w:eastAsia="Times New Roman" w:hAnsi="Times New Roman"/>
          <w:sz w:val="22"/>
          <w:szCs w:val="22"/>
          <w:color w:val="auto"/>
        </w:rPr>
      </w:pPr>
    </w:p>
    <w:p>
      <w:pPr>
        <w:ind w:left="1500" w:right="140" w:hanging="743"/>
        <w:spacing w:after="0" w:line="258" w:lineRule="auto"/>
        <w:tabs>
          <w:tab w:leader="none" w:pos="15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proposed corporate mergers, acquisitions, tender offers, joint ventures or dispositions of significant assets;</w:t>
      </w:r>
    </w:p>
    <w:p>
      <w:pPr>
        <w:spacing w:after="0" w:line="50"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management or the Board of Directors;</w:t>
      </w:r>
    </w:p>
    <w:p>
      <w:pPr>
        <w:spacing w:after="0" w:line="9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actual or threatened litigation or governmental investigations or major developments in such matters;</w:t>
      </w:r>
    </w:p>
    <w:p>
      <w:pPr>
        <w:spacing w:after="0" w:line="109" w:lineRule="exact"/>
        <w:rPr>
          <w:rFonts w:ascii="Times New Roman" w:cs="Times New Roman" w:eastAsia="Times New Roman" w:hAnsi="Times New Roman"/>
          <w:sz w:val="21"/>
          <w:szCs w:val="21"/>
          <w:color w:val="auto"/>
        </w:rPr>
      </w:pPr>
    </w:p>
    <w:p>
      <w:pPr>
        <w:ind w:left="1500" w:hanging="743"/>
        <w:spacing w:after="0"/>
        <w:tabs>
          <w:tab w:leader="none" w:pos="15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cybersecurity incident;</w:t>
      </w:r>
    </w:p>
    <w:p>
      <w:pPr>
        <w:spacing w:after="0" w:line="98" w:lineRule="exact"/>
        <w:rPr>
          <w:rFonts w:ascii="Times New Roman" w:cs="Times New Roman" w:eastAsia="Times New Roman" w:hAnsi="Times New Roman"/>
          <w:sz w:val="22"/>
          <w:szCs w:val="22"/>
          <w:color w:val="auto"/>
        </w:rPr>
      </w:pPr>
    </w:p>
    <w:p>
      <w:pPr>
        <w:ind w:left="1500" w:right="140" w:hanging="743"/>
        <w:spacing w:after="0" w:line="258" w:lineRule="auto"/>
        <w:tabs>
          <w:tab w:leader="none" w:pos="15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regarding products, customers, suppliers, orders, contracts or financing sources (e.g., the acquisition or loss of a contract);</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34" w:name="page135"/>
    <w:bookmarkEnd w:id="134"/>
    <w:p>
      <w:pPr>
        <w:ind w:left="1500" w:hanging="743"/>
        <w:spacing w:after="0"/>
        <w:tabs>
          <w:tab w:leader="none" w:pos="15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policy, declarations of stock splits, or public or private sales of additional securities;</w:t>
      </w:r>
    </w:p>
    <w:p>
      <w:pPr>
        <w:spacing w:after="0" w:line="98" w:lineRule="exact"/>
        <w:rPr>
          <w:rFonts w:ascii="Times New Roman" w:cs="Times New Roman" w:eastAsia="Times New Roman" w:hAnsi="Times New Roman"/>
          <w:sz w:val="22"/>
          <w:szCs w:val="22"/>
          <w:color w:val="auto"/>
        </w:rPr>
      </w:pPr>
    </w:p>
    <w:p>
      <w:pPr>
        <w:ind w:left="1500" w:right="300" w:hanging="743"/>
        <w:spacing w:after="0" w:line="258" w:lineRule="auto"/>
        <w:tabs>
          <w:tab w:leader="none" w:pos="15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defaults under the Company’s credit agreements or indentures, or the existence of material liquidity deficiencies; and</w:t>
      </w:r>
    </w:p>
    <w:p>
      <w:pPr>
        <w:spacing w:after="0" w:line="50"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 or receiverships.</w:t>
      </w:r>
    </w:p>
    <w:p>
      <w:pPr>
        <w:spacing w:after="0" w:line="206"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By including the list above, the Company does not mean to imply that each of these items above is </w:t>
      </w:r>
      <w:r>
        <w:rPr>
          <w:rFonts w:ascii="Times New Roman" w:cs="Times New Roman" w:eastAsia="Times New Roman" w:hAnsi="Times New Roman"/>
          <w:sz w:val="22"/>
          <w:szCs w:val="22"/>
          <w:u w:val="single" w:color="auto"/>
          <w:color w:val="auto"/>
        </w:rPr>
        <w:t>per se</w:t>
      </w:r>
      <w:r>
        <w:rPr>
          <w:rFonts w:ascii="Times New Roman" w:cs="Times New Roman" w:eastAsia="Times New Roman" w:hAnsi="Times New Roman"/>
          <w:sz w:val="22"/>
          <w:szCs w:val="22"/>
          <w:color w:val="auto"/>
        </w:rPr>
        <w:t xml:space="preserve"> material. The information and events on this list still require determinations as to their materiality (although some determinations will be reached more easily than others). For example, some new products or contracts may clearly be material to an issuer; yet that does not mean that all product developments or contracts will be material. This demonstrates, in our view, why no “bright-line” standard or list of items can adequately address the range of situations that may arise. Furthermore, the Company cannot create an exclusive list of events and information that have a higher probability of being considered material.</w:t>
      </w:r>
    </w:p>
    <w:p>
      <w:pPr>
        <w:spacing w:after="0" w:line="181"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2"/>
          <w:szCs w:val="22"/>
          <w:color w:val="auto"/>
        </w:rPr>
        <w:t>The Securities and Exchange Commission (the “SEC”) has stated that there is no fixed quantitative threshold amount for determining materiality, and that even very small quantitative changes can be qualitatively material if they would result in a movement in the price of the Company’s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“Nonpublic” Information</w:t>
      </w:r>
    </w:p>
    <w:p>
      <w:pPr>
        <w:spacing w:after="0" w:line="210"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Material information is “nonpublic” if it has not been disseminated in a manner making it available to investors generally. To show that information is public, it is necessary to point to some fact that establishes that the information has become publicly available, such as the filing of a report with the SEC, the distribution of a press release through a widely disseminated news or wire service, publishing the information on our website or posting on social media if those are regular ways we communicate with investors, or by other means that are reasonably designed to provide broad public access. Before a person who possesses material, nonpublic information can trade, there also must be adequate time for the market as a whole to absorb the information that has been disclosed. For the purposes of this Insider Trading Policy, information will be considered public after the close of trading on the second full trading day following the Company’s public release of the information.</w:t>
      </w:r>
    </w:p>
    <w:p>
      <w:pPr>
        <w:spacing w:after="0" w:line="178" w:lineRule="exact"/>
        <w:rPr>
          <w:sz w:val="20"/>
          <w:szCs w:val="20"/>
          <w:color w:val="auto"/>
        </w:rPr>
      </w:pPr>
    </w:p>
    <w:p>
      <w:pPr>
        <w:ind w:right="260" w:firstLine="749"/>
        <w:spacing w:after="0" w:line="239" w:lineRule="auto"/>
        <w:rPr>
          <w:sz w:val="20"/>
          <w:szCs w:val="20"/>
          <w:color w:val="auto"/>
        </w:rPr>
      </w:pPr>
      <w:r>
        <w:rPr>
          <w:rFonts w:ascii="Times New Roman" w:cs="Times New Roman" w:eastAsia="Times New Roman" w:hAnsi="Times New Roman"/>
          <w:sz w:val="22"/>
          <w:szCs w:val="22"/>
          <w:color w:val="auto"/>
        </w:rPr>
        <w:t>For example, if the Company announces material nonpublic information of which you are aware before trading begins on a Tuesday, the first time you can buy or sell Company securities is the opening of the market on Thursday. However, if the Company announces this material information after trading begins on that Tuesday, the first time that you can buy or sell Company securities is the opening of the market on Friday.</w:t>
      </w:r>
    </w:p>
    <w:p>
      <w:pPr>
        <w:spacing w:after="0" w:line="174" w:lineRule="exact"/>
        <w:rPr>
          <w:sz w:val="20"/>
          <w:szCs w:val="20"/>
          <w:color w:val="auto"/>
        </w:rPr>
      </w:pPr>
    </w:p>
    <w:p>
      <w:pPr>
        <w:ind w:left="440" w:hanging="432"/>
        <w:spacing w:after="0"/>
        <w:tabs>
          <w:tab w:leader="none" w:pos="440" w:val="left"/>
        </w:tabs>
        <w:numPr>
          <w:ilvl w:val="0"/>
          <w:numId w:val="6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are the Penalties for Insider Trading and Noncompliance with this Insider Trading Policy?</w:t>
      </w:r>
    </w:p>
    <w:p>
      <w:pPr>
        <w:spacing w:after="0" w:line="212"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2"/>
          <w:szCs w:val="22"/>
          <w:color w:val="auto"/>
        </w:rPr>
        <w:t>Both the SEC and the national securities exchanges, through the Financial Industry Regulatory Authority (“FINRA”), investigate and are very effective at detecting insider trading. The U.S. government pursues insider trading violations vigorously. For instance, cases have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5" w:name="page136"/>
    <w:bookmarkEnd w:id="135"/>
    <w:p>
      <w:pPr>
        <w:ind w:right="700"/>
        <w:spacing w:after="0" w:line="258" w:lineRule="auto"/>
        <w:rPr>
          <w:sz w:val="20"/>
          <w:szCs w:val="20"/>
          <w:color w:val="auto"/>
        </w:rPr>
      </w:pPr>
      <w:r>
        <w:rPr>
          <w:rFonts w:ascii="Times New Roman" w:cs="Times New Roman" w:eastAsia="Times New Roman" w:hAnsi="Times New Roman"/>
          <w:sz w:val="22"/>
          <w:szCs w:val="22"/>
          <w:color w:val="auto"/>
        </w:rPr>
        <w:t>been successfully prosecuted against trading by employees in foreign accounts, trading by family members and friends of insiders, and trading involving only a small number of shares.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penalties for violating the rules against insider trading can be severe and include:</w:t>
      </w:r>
    </w:p>
    <w:p>
      <w:pPr>
        <w:spacing w:after="0" w:line="206" w:lineRule="exact"/>
        <w:rPr>
          <w:sz w:val="20"/>
          <w:szCs w:val="20"/>
          <w:color w:val="auto"/>
        </w:rPr>
      </w:pPr>
    </w:p>
    <w:p>
      <w:pPr>
        <w:ind w:left="1140" w:hanging="383"/>
        <w:spacing w:after="0"/>
        <w:tabs>
          <w:tab w:leader="none" w:pos="114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disgorgement of the profit gained or loss avoided by the trading;</w:t>
      </w:r>
    </w:p>
    <w:p>
      <w:pPr>
        <w:spacing w:after="0" w:line="98" w:lineRule="exact"/>
        <w:rPr>
          <w:rFonts w:ascii="Times New Roman" w:cs="Times New Roman" w:eastAsia="Times New Roman" w:hAnsi="Times New Roman"/>
          <w:sz w:val="22"/>
          <w:szCs w:val="22"/>
          <w:color w:val="auto"/>
        </w:rPr>
      </w:pPr>
    </w:p>
    <w:p>
      <w:pPr>
        <w:ind w:left="1140" w:right="120" w:hanging="383"/>
        <w:spacing w:after="0" w:line="258" w:lineRule="auto"/>
        <w:tabs>
          <w:tab w:leader="none" w:pos="114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loss suffered by the persons who, contemporaneously with the purchase or sale of securities that are subject of such violation, have purchased or sold, as applicable, securities of the same class;</w:t>
      </w:r>
    </w:p>
    <w:p>
      <w:pPr>
        <w:spacing w:after="0" w:line="50"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criminal penalties of up to $5,000,000;</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civil penalties of up to three times the profit made or loss avoided; and</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imprisonment for up to 20 years.</w:t>
      </w:r>
    </w:p>
    <w:p>
      <w:pPr>
        <w:spacing w:after="0" w:line="206" w:lineRule="exact"/>
        <w:rPr>
          <w:sz w:val="20"/>
          <w:szCs w:val="20"/>
          <w:color w:val="auto"/>
        </w:rPr>
      </w:pPr>
    </w:p>
    <w:p>
      <w:pPr>
        <w:ind w:right="80" w:firstLine="749"/>
        <w:spacing w:after="0" w:line="244" w:lineRule="auto"/>
        <w:rPr>
          <w:sz w:val="20"/>
          <w:szCs w:val="20"/>
          <w:color w:val="auto"/>
        </w:rPr>
      </w:pPr>
      <w:r>
        <w:rPr>
          <w:rFonts w:ascii="Times New Roman" w:cs="Times New Roman" w:eastAsia="Times New Roman" w:hAnsi="Times New Roman"/>
          <w:sz w:val="22"/>
          <w:szCs w:val="22"/>
          <w:color w:val="auto"/>
        </w:rPr>
        <w:t>The Company and/or the supervisors of the person engaged in insider trading may also be required to pay civil penalties or fines of $2 million or more, up to three times the profit made or loss avoided, as well as criminal penalties of up to $25,000,000, and could under some circumstances be subject to private lawsuits.</w:t>
      </w:r>
    </w:p>
    <w:p>
      <w:pPr>
        <w:spacing w:after="0" w:line="173"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auto"/>
        </w:rPr>
        <w:t>Violation of this Insider Trading Policy or any federal or state insider trading laws may subject the person violating such policy or laws to disciplinary action by the Company up to and including termination. The Company reserves the right to determine, in its own discretion and on the basis of the information available to it, whether this Insider Trading Policy has been violated. The Company may determine that specific conduct violates this Insider Trading Policy, whether or not the conduct also violates the law. It is not necessary for the Company to await the filing or conclusion of a civil or criminal action against the alleged violator before taking disciplinary action.</w:t>
      </w:r>
    </w:p>
    <w:p>
      <w:pPr>
        <w:spacing w:after="0" w:line="175" w:lineRule="exact"/>
        <w:rPr>
          <w:sz w:val="20"/>
          <w:szCs w:val="20"/>
          <w:color w:val="auto"/>
        </w:rPr>
      </w:pPr>
    </w:p>
    <w:p>
      <w:pPr>
        <w:ind w:left="440" w:hanging="432"/>
        <w:spacing w:after="0"/>
        <w:tabs>
          <w:tab w:leader="none" w:pos="440" w:val="left"/>
        </w:tabs>
        <w:numPr>
          <w:ilvl w:val="0"/>
          <w:numId w:val="6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How Do You Report a Violation of this Insider Trading Policy?</w:t>
      </w:r>
    </w:p>
    <w:p>
      <w:pPr>
        <w:spacing w:after="0" w:line="212" w:lineRule="exact"/>
        <w:rPr>
          <w:sz w:val="20"/>
          <w:szCs w:val="20"/>
          <w:color w:val="auto"/>
        </w:rPr>
      </w:pPr>
    </w:p>
    <w:p>
      <w:pPr>
        <w:ind w:right="380" w:firstLine="749"/>
        <w:spacing w:after="0" w:line="239" w:lineRule="auto"/>
        <w:rPr>
          <w:sz w:val="20"/>
          <w:szCs w:val="20"/>
          <w:color w:val="auto"/>
        </w:rPr>
      </w:pPr>
      <w:r>
        <w:rPr>
          <w:rFonts w:ascii="Times New Roman" w:cs="Times New Roman" w:eastAsia="Times New Roman" w:hAnsi="Times New Roman"/>
          <w:sz w:val="22"/>
          <w:szCs w:val="22"/>
          <w:color w:val="auto"/>
        </w:rPr>
        <w:t>If you have a question about this Insider Trading Policy, including whether certain information you are aware of is material or has been made public, you are encouraged to consult with the Compliance Officer. In addition, if you violate this Insider Trading Policy or any federal or state laws governing insider trading, or know of any such violation by any director, officer or employee of the Company, you should report the violation immediately to the Compliance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TRADING PROCEDURES</w:t>
      </w:r>
    </w:p>
    <w:p>
      <w:pPr>
        <w:spacing w:after="0" w:line="204" w:lineRule="exact"/>
        <w:rPr>
          <w:sz w:val="20"/>
          <w:szCs w:val="20"/>
          <w:color w:val="auto"/>
        </w:rPr>
      </w:pPr>
    </w:p>
    <w:p>
      <w:pPr>
        <w:ind w:left="440" w:hanging="432"/>
        <w:spacing w:after="0"/>
        <w:tabs>
          <w:tab w:leader="none" w:pos="440" w:val="left"/>
        </w:tabs>
        <w:numPr>
          <w:ilvl w:val="0"/>
          <w:numId w:val="70"/>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Special Trading Restrictions Applicable to Insiders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In addition to needing to comply with the restrictions on trading in Company securities set forth above, Insiders and their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Affiliated Persons are subject to the following special trading restrictions: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36" w:name="page137"/>
    <w:bookmarkEnd w:id="136"/>
    <w:p>
      <w:pPr>
        <w:ind w:left="440" w:hanging="432"/>
        <w:spacing w:after="0"/>
        <w:tabs>
          <w:tab w:leader="none" w:pos="440" w:val="left"/>
        </w:tabs>
        <w:numPr>
          <w:ilvl w:val="0"/>
          <w:numId w:val="7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Pre-Clearance Procedures</w:t>
      </w:r>
    </w:p>
    <w:p>
      <w:pPr>
        <w:spacing w:after="0" w:line="212" w:lineRule="exact"/>
        <w:rPr>
          <w:sz w:val="20"/>
          <w:szCs w:val="20"/>
          <w:color w:val="auto"/>
        </w:rPr>
      </w:pPr>
    </w:p>
    <w:p>
      <w:pPr>
        <w:ind w:firstLine="749"/>
        <w:spacing w:after="0"/>
        <w:rPr>
          <w:sz w:val="20"/>
          <w:szCs w:val="20"/>
          <w:color w:val="auto"/>
        </w:rPr>
      </w:pPr>
      <w:r>
        <w:rPr>
          <w:rFonts w:ascii="Times New Roman" w:cs="Times New Roman" w:eastAsia="Times New Roman" w:hAnsi="Times New Roman"/>
          <w:sz w:val="22"/>
          <w:szCs w:val="22"/>
          <w:color w:val="auto"/>
        </w:rPr>
        <w:t>No Insider may trade in Company securities, even during an open trading window, unless the trade has been approved by the Compliance Officer in accordance with the procedures set forth below. The Compliance Officer will review and either approve or prohibit all proposed trades by Insiders in accordance with the procedures set forth below. The Compliance Officer may consult with the Company’s other officers and/or outside legal counsel and will receive approval for his or her own trades from the Chief Executive Officer.</w:t>
      </w:r>
    </w:p>
    <w:p>
      <w:pPr>
        <w:spacing w:after="0" w:line="176" w:lineRule="exact"/>
        <w:rPr>
          <w:sz w:val="20"/>
          <w:szCs w:val="20"/>
          <w:color w:val="auto"/>
        </w:rPr>
      </w:pPr>
    </w:p>
    <w:p>
      <w:pPr>
        <w:ind w:left="1500" w:hanging="743"/>
        <w:spacing w:after="0"/>
        <w:tabs>
          <w:tab w:leader="none" w:pos="150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Procedures. </w:t>
      </w:r>
      <w:r>
        <w:rPr>
          <w:rFonts w:ascii="Times New Roman" w:cs="Times New Roman" w:eastAsia="Times New Roman" w:hAnsi="Times New Roman"/>
          <w:sz w:val="22"/>
          <w:szCs w:val="22"/>
          <w:color w:val="auto"/>
        </w:rPr>
        <w:t>No Insider may trade in Company securities until:</w:t>
      </w:r>
    </w:p>
    <w:p>
      <w:pPr>
        <w:spacing w:after="0" w:line="210" w:lineRule="exact"/>
        <w:rPr>
          <w:rFonts w:ascii="Times New Roman" w:cs="Times New Roman" w:eastAsia="Times New Roman" w:hAnsi="Times New Roman"/>
          <w:sz w:val="22"/>
          <w:szCs w:val="22"/>
          <w:b w:val="1"/>
          <w:bCs w:val="1"/>
          <w:color w:val="auto"/>
        </w:rPr>
      </w:pPr>
    </w:p>
    <w:p>
      <w:pPr>
        <w:ind w:left="1880" w:right="40" w:hanging="375"/>
        <w:spacing w:after="0" w:line="238" w:lineRule="auto"/>
        <w:tabs>
          <w:tab w:leader="none" w:pos="188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notified the Compliance Officer of the amount and nature of the proposed trade(s) using the Company’s Stock Transaction Request form which may be obtained from the Compliance Officer for such purpose). In order to provide adequate time for the preparation of any required reports under Section 16 of the Exchange Act, a Stock Transaction Request form should, if practicable, be received by the Compliance Officer at least two (2) business days prior to the intended trade date;</w:t>
      </w:r>
    </w:p>
    <w:p>
      <w:pPr>
        <w:spacing w:after="0" w:line="176" w:lineRule="exact"/>
        <w:rPr>
          <w:rFonts w:ascii="Times New Roman" w:cs="Times New Roman" w:eastAsia="Times New Roman" w:hAnsi="Times New Roman"/>
          <w:sz w:val="22"/>
          <w:szCs w:val="22"/>
          <w:color w:val="auto"/>
        </w:rPr>
      </w:pPr>
    </w:p>
    <w:p>
      <w:pPr>
        <w:ind w:left="1880" w:right="120" w:hanging="375"/>
        <w:spacing w:after="0" w:line="258" w:lineRule="auto"/>
        <w:tabs>
          <w:tab w:leader="none" w:pos="188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certified to the Compliance Officer in writing prior to the proposed trade(s) that the Insider is not in possession of material, nonpublic information concerning the Company;</w:t>
      </w:r>
    </w:p>
    <w:p>
      <w:pPr>
        <w:spacing w:after="0" w:line="158" w:lineRule="exact"/>
        <w:rPr>
          <w:rFonts w:ascii="Times New Roman" w:cs="Times New Roman" w:eastAsia="Times New Roman" w:hAnsi="Times New Roman"/>
          <w:sz w:val="22"/>
          <w:szCs w:val="22"/>
          <w:color w:val="auto"/>
        </w:rPr>
      </w:pPr>
    </w:p>
    <w:p>
      <w:pPr>
        <w:ind w:left="1880" w:hanging="375"/>
        <w:spacing w:after="0" w:line="249" w:lineRule="auto"/>
        <w:tabs>
          <w:tab w:leader="none" w:pos="1880"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Insider has informed the Compliance Officer, using the Stock Transaction Request form obtained from the Compliance Officer, whether, to the Insider’s best knowledge, (a) the Insider has (or is deemed to have) engaged in any opposite way transactions within the previous six months that were not exempt from Section 16(b) of the Exchange Act and (b) if the transaction involves a sale by an “affiliate” of the Company or of “restricted securities” (as such terms are defined under Rule 144 under the Securities Act of 1933, as amended (“Rule 144”)), whether the transaction meets all of the applicable conditions of Rule 144; and</w:t>
      </w:r>
    </w:p>
    <w:p>
      <w:pPr>
        <w:spacing w:after="0" w:line="170" w:lineRule="exact"/>
        <w:rPr>
          <w:rFonts w:ascii="Times New Roman" w:cs="Times New Roman" w:eastAsia="Times New Roman" w:hAnsi="Times New Roman"/>
          <w:sz w:val="21"/>
          <w:szCs w:val="21"/>
          <w:color w:val="auto"/>
        </w:rPr>
      </w:pPr>
    </w:p>
    <w:p>
      <w:pPr>
        <w:ind w:left="1880" w:right="140" w:hanging="375"/>
        <w:spacing w:after="0" w:line="258" w:lineRule="auto"/>
        <w:tabs>
          <w:tab w:leader="none" w:pos="188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Compliance Officer or his or her designee has approved the trade(s) and has certified such approval in writing (including email).</w:t>
      </w:r>
    </w:p>
    <w:p>
      <w:pPr>
        <w:spacing w:after="0" w:line="158" w:lineRule="exact"/>
        <w:rPr>
          <w:sz w:val="20"/>
          <w:szCs w:val="20"/>
          <w:color w:val="auto"/>
        </w:rPr>
      </w:pPr>
    </w:p>
    <w:p>
      <w:pPr>
        <w:ind w:right="480" w:firstLine="749"/>
        <w:spacing w:after="0" w:line="258" w:lineRule="auto"/>
        <w:rPr>
          <w:sz w:val="20"/>
          <w:szCs w:val="20"/>
          <w:color w:val="auto"/>
        </w:rPr>
      </w:pPr>
      <w:r>
        <w:rPr>
          <w:rFonts w:ascii="Times New Roman" w:cs="Times New Roman" w:eastAsia="Times New Roman" w:hAnsi="Times New Roman"/>
          <w:sz w:val="22"/>
          <w:szCs w:val="22"/>
          <w:color w:val="auto"/>
        </w:rPr>
        <w:t>The Compliance Officer does not assume the responsibility for, and approval from the Compliance Officer does not protect the Insider from, the consequences of prohibited insider trading.</w:t>
      </w:r>
    </w:p>
    <w:p>
      <w:pPr>
        <w:spacing w:after="0" w:line="154" w:lineRule="exact"/>
        <w:rPr>
          <w:sz w:val="20"/>
          <w:szCs w:val="20"/>
          <w:color w:val="auto"/>
        </w:rPr>
      </w:pPr>
    </w:p>
    <w:p>
      <w:pPr>
        <w:ind w:left="1500" w:hanging="743"/>
        <w:spacing w:after="0"/>
        <w:tabs>
          <w:tab w:leader="none" w:pos="150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Information.</w:t>
      </w:r>
    </w:p>
    <w:p>
      <w:pPr>
        <w:spacing w:after="0" w:line="210"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2"/>
          <w:szCs w:val="22"/>
          <w:color w:val="auto"/>
        </w:rPr>
        <w:t>Insiders shall provide to the Compliance Officer any documentation reasonably requested by him or her in furtherance of the foregoing procedures. Any failure to provide such requested information will be grounds for denial of approval by the Compliance Officer.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37" w:name="page138"/>
    <w:bookmarkEnd w:id="137"/>
    <w:p>
      <w:pPr>
        <w:ind w:left="1500" w:hanging="743"/>
        <w:spacing w:after="0"/>
        <w:tabs>
          <w:tab w:leader="none" w:pos="150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Notification of Brokers of Insider Status</w:t>
      </w:r>
    </w:p>
    <w:p>
      <w:pPr>
        <w:spacing w:after="0" w:line="210" w:lineRule="exact"/>
        <w:rPr>
          <w:sz w:val="20"/>
          <w:szCs w:val="20"/>
          <w:color w:val="auto"/>
        </w:rPr>
      </w:pPr>
    </w:p>
    <w:p>
      <w:pPr>
        <w:ind w:right="120" w:firstLine="749"/>
        <w:spacing w:after="0" w:line="239" w:lineRule="auto"/>
        <w:rPr>
          <w:sz w:val="20"/>
          <w:szCs w:val="20"/>
          <w:color w:val="auto"/>
        </w:rPr>
      </w:pPr>
      <w:r>
        <w:rPr>
          <w:rFonts w:ascii="Times New Roman" w:cs="Times New Roman" w:eastAsia="Times New Roman" w:hAnsi="Times New Roman"/>
          <w:sz w:val="22"/>
          <w:szCs w:val="22"/>
          <w:color w:val="auto"/>
        </w:rPr>
        <w:t>Insiders who are required to file reports under Section 16 of the Exchange Act shall inform their broker-dealers that (a) the Insider is subject to Section 16; (b) the broker shall confirm that any trade by the Insider or any of their affiliates has been precleared by the Company; and (c) the broker is to provide transaction information to the Insider and/or Compliance Officer on the day of a trade.</w:t>
      </w:r>
    </w:p>
    <w:p>
      <w:pPr>
        <w:spacing w:after="0" w:line="176" w:lineRule="exact"/>
        <w:rPr>
          <w:sz w:val="20"/>
          <w:szCs w:val="20"/>
          <w:color w:val="auto"/>
        </w:rPr>
      </w:pPr>
    </w:p>
    <w:p>
      <w:pPr>
        <w:ind w:left="1500" w:hanging="743"/>
        <w:spacing w:after="0"/>
        <w:tabs>
          <w:tab w:leader="none" w:pos="150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Obligation to Approve Trades.</w:t>
      </w:r>
    </w:p>
    <w:p>
      <w:pPr>
        <w:spacing w:after="0" w:line="210"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The existence of the foregoing approval procedures does not in any way obligate the Compliance Officer to approve any trade requested by a person subject to this Policy. The Compliance Officer may reject any trading request at his or her sole discretion.</w:t>
      </w:r>
    </w:p>
    <w:p>
      <w:pPr>
        <w:spacing w:after="0" w:line="173"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From time to time, an event may occur that is material to the Company and is known by only a few directors or executives. Insiders may not trade in Company securities if they are notified by the Compliance Officer that a proposed trade has not been cleared because of the existence of a material, nonpublic development. Even if that particular Insider is not aware of the material, nonpublic development involving the Company, if any Insider engages in a trade before a material, nonpublic development is disclosed to the public or resolved, the Insider and the Company might be exposed to a charge of insider trading that could be costly and difficult to refute even if the Insider was unaware of the development. So long as the event remains material and nonpublic, the Compliance Officer may determine not to approve any transactions in the Company’s securities. The Compliance Officer will subsequently notify the Insider once the material, nonpublic development is disclosed to the public or resolved. If an Insider requests clearance to trade in the Company’s securities during the pendency of such an event, the Compliance Officer may reject the trading request without disclosing the reason.</w:t>
      </w:r>
    </w:p>
    <w:p>
      <w:pPr>
        <w:spacing w:after="0" w:line="175" w:lineRule="exact"/>
        <w:rPr>
          <w:sz w:val="20"/>
          <w:szCs w:val="20"/>
          <w:color w:val="auto"/>
        </w:rPr>
      </w:pPr>
    </w:p>
    <w:p>
      <w:pPr>
        <w:ind w:left="1500" w:hanging="743"/>
        <w:spacing w:after="0"/>
        <w:tabs>
          <w:tab w:leader="none" w:pos="150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Completion of Trades.</w:t>
      </w:r>
    </w:p>
    <w:p>
      <w:pPr>
        <w:spacing w:after="0" w:line="210" w:lineRule="exact"/>
        <w:rPr>
          <w:sz w:val="20"/>
          <w:szCs w:val="20"/>
          <w:color w:val="auto"/>
        </w:rPr>
      </w:pPr>
    </w:p>
    <w:p>
      <w:pPr>
        <w:ind w:right="200" w:firstLine="749"/>
        <w:spacing w:after="0" w:line="255" w:lineRule="auto"/>
        <w:rPr>
          <w:sz w:val="20"/>
          <w:szCs w:val="20"/>
          <w:color w:val="auto"/>
        </w:rPr>
      </w:pPr>
      <w:r>
        <w:rPr>
          <w:rFonts w:ascii="Times New Roman" w:cs="Times New Roman" w:eastAsia="Times New Roman" w:hAnsi="Times New Roman"/>
          <w:sz w:val="21"/>
          <w:szCs w:val="21"/>
          <w:color w:val="auto"/>
        </w:rPr>
        <w:t>After receiving written clearance to engage in a trade signed by the Compliance Officer, an Insider must complete the proposed trade within two (2) business days or make a new trading request. Even if an Insider has received clearance, the Insider may not engage in a trade if (i) such clearance has been rescinded by the Compliance Officer, (ii) the Insider has otherwise received notice that the trading window has closed or (iii) the Insider has or acquires material nonpublic information.</w:t>
      </w:r>
    </w:p>
    <w:p>
      <w:pPr>
        <w:spacing w:after="0" w:line="158" w:lineRule="exact"/>
        <w:rPr>
          <w:sz w:val="20"/>
          <w:szCs w:val="20"/>
          <w:color w:val="auto"/>
        </w:rPr>
      </w:pPr>
    </w:p>
    <w:p>
      <w:pPr>
        <w:ind w:left="1500" w:hanging="743"/>
        <w:spacing w:after="0"/>
        <w:tabs>
          <w:tab w:leader="none" w:pos="150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Post-Trade Reporting.</w:t>
      </w:r>
    </w:p>
    <w:p>
      <w:pPr>
        <w:spacing w:after="0" w:line="210" w:lineRule="exact"/>
        <w:rPr>
          <w:sz w:val="20"/>
          <w:szCs w:val="20"/>
          <w:color w:val="auto"/>
        </w:rPr>
      </w:pPr>
    </w:p>
    <w:p>
      <w:pPr>
        <w:ind w:right="220" w:firstLine="749"/>
        <w:spacing w:after="0" w:line="249" w:lineRule="auto"/>
        <w:rPr>
          <w:sz w:val="20"/>
          <w:szCs w:val="20"/>
          <w:color w:val="auto"/>
        </w:rPr>
      </w:pPr>
      <w:r>
        <w:rPr>
          <w:rFonts w:ascii="Times New Roman" w:cs="Times New Roman" w:eastAsia="Times New Roman" w:hAnsi="Times New Roman"/>
          <w:sz w:val="21"/>
          <w:szCs w:val="21"/>
          <w:color w:val="auto"/>
        </w:rPr>
        <w:t>Any transactions in the Company’s securities by an Insider (including transactions effected pursuant to a Rule 10b5-1 Plan) by an Insider (or an Affiliated Person) who is required to file reports under Section 16 of the Exchange Act must be reported to the Compliance Officer by the Insider or their brokerage firm on the same day on which such a transaction occurs. Each report an Insider makes to the Compliance Officer should include the date of the transaction, quantity of shares, price and broker-dealer through which the transaction was effected. This reporting requirement may be satisfied by sending (or having such Insider’s broker send) duplicate confirmations of trades to the Compliance Officer if such information is received by</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38" w:name="page139"/>
    <w:bookmarkEnd w:id="138"/>
    <w:p>
      <w:pPr>
        <w:ind w:right="140"/>
        <w:spacing w:after="0" w:line="238" w:lineRule="auto"/>
        <w:rPr>
          <w:sz w:val="20"/>
          <w:szCs w:val="20"/>
          <w:color w:val="auto"/>
        </w:rPr>
      </w:pPr>
      <w:r>
        <w:rPr>
          <w:rFonts w:ascii="Times New Roman" w:cs="Times New Roman" w:eastAsia="Times New Roman" w:hAnsi="Times New Roman"/>
          <w:sz w:val="22"/>
          <w:szCs w:val="22"/>
          <w:color w:val="auto"/>
        </w:rPr>
        <w:t>the Compliance Officer on or before the required date. Compliance by directors and executive officers with this provision is imperative given the requirement of Section 16 of the Exchange Act that these persons generally must report changes in ownership of Company securities within two (2) business days. The sanctions for noncompliance with this reporting deadline include mandatory disclosure in the Company’s proxy statement for the next annual meeting of stockholders, as well as possible civil or criminal sanctions for chronic or egregious violators.</w:t>
      </w:r>
    </w:p>
    <w:p>
      <w:pPr>
        <w:spacing w:after="0" w:line="171" w:lineRule="exact"/>
        <w:rPr>
          <w:sz w:val="20"/>
          <w:szCs w:val="20"/>
          <w:color w:val="auto"/>
        </w:rPr>
      </w:pPr>
    </w:p>
    <w:p>
      <w:pPr>
        <w:ind w:left="440" w:hanging="432"/>
        <w:spacing w:after="0"/>
        <w:tabs>
          <w:tab w:leader="none" w:pos="440" w:val="left"/>
        </w:tabs>
        <w:numPr>
          <w:ilvl w:val="0"/>
          <w:numId w:val="7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Exemptions</w:t>
      </w:r>
    </w:p>
    <w:p>
      <w:pPr>
        <w:spacing w:after="0" w:line="208" w:lineRule="exact"/>
        <w:rPr>
          <w:rFonts w:ascii="Times New Roman" w:cs="Times New Roman" w:eastAsia="Times New Roman" w:hAnsi="Times New Roman"/>
          <w:sz w:val="22"/>
          <w:szCs w:val="22"/>
          <w:b w:val="1"/>
          <w:bCs w:val="1"/>
          <w:i w:val="1"/>
          <w:iCs w:val="1"/>
          <w:color w:val="auto"/>
        </w:rPr>
      </w:pPr>
    </w:p>
    <w:p>
      <w:pPr>
        <w:ind w:left="1500" w:hanging="743"/>
        <w:spacing w:after="0"/>
        <w:tabs>
          <w:tab w:leader="none" w:pos="1500" w:val="left"/>
        </w:tabs>
        <w:numPr>
          <w:ilvl w:val="1"/>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Pre-Approved Rule 10b5-1 Plan.</w:t>
      </w:r>
    </w:p>
    <w:p>
      <w:pPr>
        <w:spacing w:after="0" w:line="210" w:lineRule="exact"/>
        <w:rPr>
          <w:sz w:val="20"/>
          <w:szCs w:val="20"/>
          <w:color w:val="auto"/>
        </w:rPr>
      </w:pPr>
    </w:p>
    <w:p>
      <w:pPr>
        <w:ind w:right="20" w:firstLine="432"/>
        <w:spacing w:after="0" w:line="235" w:lineRule="auto"/>
        <w:rPr>
          <w:sz w:val="20"/>
          <w:szCs w:val="20"/>
          <w:color w:val="auto"/>
        </w:rPr>
      </w:pPr>
      <w:r>
        <w:rPr>
          <w:rFonts w:ascii="Times New Roman" w:cs="Times New Roman" w:eastAsia="Times New Roman" w:hAnsi="Times New Roman"/>
          <w:sz w:val="22"/>
          <w:szCs w:val="22"/>
          <w:color w:val="auto"/>
        </w:rPr>
        <w:t>Transactions effected pursuant to a Rule 10b5-1 Plan (as defined below) will not be subject to the Company’s trading windows or pre-clearance procedures, and a Stock Transaction Request form is not required for such transactions. Rule 10b5-1 of the Exchange Act provides an affirmative defense from insider trading liability under the federal securities laws for trading plans, arrangements or instructions that meet certain requirements. A trading plan, arrangement or instruction that meets the requirements of Rule 10b5-1 (a “</w:t>
      </w:r>
      <w:r>
        <w:rPr>
          <w:rFonts w:ascii="Times New Roman" w:cs="Times New Roman" w:eastAsia="Times New Roman" w:hAnsi="Times New Roman"/>
          <w:sz w:val="22"/>
          <w:szCs w:val="22"/>
          <w:u w:val="single" w:color="auto"/>
          <w:color w:val="auto"/>
        </w:rPr>
        <w:t>Rule 10b5-1 Plan</w:t>
      </w:r>
      <w:r>
        <w:rPr>
          <w:rFonts w:ascii="Times New Roman" w:cs="Times New Roman" w:eastAsia="Times New Roman" w:hAnsi="Times New Roman"/>
          <w:sz w:val="22"/>
          <w:szCs w:val="22"/>
          <w:color w:val="auto"/>
        </w:rPr>
        <w:t>”) enables Insiders (and certain other employees) to establish arrangements to trade in Company securities outside of the Company’s trading windows, even when in possession of material, nonpublic information.</w:t>
      </w:r>
    </w:p>
    <w:p>
      <w:pPr>
        <w:spacing w:after="0" w:line="183"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22"/>
          <w:szCs w:val="22"/>
          <w:color w:val="auto"/>
        </w:rPr>
        <w:t>The Company has adopted a separate Rule 10b5-1 Trading Plan Policy that sets forth the requirements for putting in place a Rule 10b5-1 Plan with respect to Company securities.</w:t>
      </w:r>
    </w:p>
    <w:p>
      <w:pPr>
        <w:spacing w:after="0" w:line="154" w:lineRule="exact"/>
        <w:rPr>
          <w:sz w:val="20"/>
          <w:szCs w:val="20"/>
          <w:color w:val="auto"/>
        </w:rPr>
      </w:pPr>
    </w:p>
    <w:p>
      <w:pPr>
        <w:ind w:left="1500" w:hanging="743"/>
        <w:spacing w:after="0"/>
        <w:tabs>
          <w:tab w:leader="none" w:pos="150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 Benefit Plans.</w:t>
      </w:r>
    </w:p>
    <w:p>
      <w:pPr>
        <w:spacing w:after="0" w:line="204" w:lineRule="exact"/>
        <w:rPr>
          <w:sz w:val="20"/>
          <w:szCs w:val="20"/>
          <w:color w:val="auto"/>
        </w:rPr>
      </w:pPr>
    </w:p>
    <w:p>
      <w:pPr>
        <w:ind w:right="140" w:firstLine="1497"/>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Exercise of Stock Options</w:t>
      </w:r>
      <w:r>
        <w:rPr>
          <w:rFonts w:ascii="Times New Roman" w:cs="Times New Roman" w:eastAsia="Times New Roman" w:hAnsi="Times New Roman"/>
          <w:sz w:val="22"/>
          <w:szCs w:val="22"/>
          <w:color w:val="auto"/>
        </w:rPr>
        <w:t>. The trading prohibitions and restrictions set forth in the Trading Procedures do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apply to the exercise of an option to purchase securities of the Company when payment of the exercise price is made in cash. However, the exercise of an option to purchase securities of the Company is subject to the current reporting requirements of Section 16 of the Exchange Act and, therefore, Insiders must comply with the post-trade reporting requirement described in Section C above for any such transaction. In addition, the securities acquired upon the exercise of an option to purchase Company securities are subject to all of the requirements of this Insider Trading Policy, including the Trading Procedures contained herein. Moreover, the Trading Procedures apply to the use of outstanding Company securities to pay part or all of the exercise price of an option, any net option exercise, any exercise of a stock appreciation right, share withholding, any sale of stock as part of a broker-assisted cashless exercise of an option, or any other market sale for the purpose of generating the cash needed to pay the exercise price of an option.</w:t>
      </w:r>
    </w:p>
    <w:p>
      <w:pPr>
        <w:spacing w:after="0" w:line="179"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Tax Withholding on Restricted Stock/Units</w:t>
      </w:r>
      <w:r>
        <w:rPr>
          <w:rFonts w:ascii="Times New Roman" w:cs="Times New Roman" w:eastAsia="Times New Roman" w:hAnsi="Times New Roman"/>
          <w:sz w:val="22"/>
          <w:szCs w:val="22"/>
          <w:color w:val="auto"/>
        </w:rPr>
        <w:t>. The trading prohibitions and restrictions set forth in the Trading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Procedures do not apply to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9" w:name="page140"/>
    <w:bookmarkEnd w:id="139"/>
    <w:p>
      <w:pPr>
        <w:ind w:firstLine="749"/>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Employee Stock Purchase Plan</w:t>
      </w:r>
      <w:r>
        <w:rPr>
          <w:rFonts w:ascii="Times New Roman" w:cs="Times New Roman" w:eastAsia="Times New Roman" w:hAnsi="Times New Roman"/>
          <w:sz w:val="22"/>
          <w:szCs w:val="22"/>
          <w:color w:val="auto"/>
        </w:rPr>
        <w:t>. The trading prohibitions and restrictions set forth in the Trading Procedures do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apply to periodic wage withholding contributions by the Company or employees of the Company which are used to purchase the Company’s securities pursuant to the employees’ advance instructions under the Company’s 2021 Employee Stock Purchase Plan. However, no Insider may: (a) elect to participate in the plan or alter his or her instructions regarding the level of withholding or purchase by the Insider of Company securities under such plan; or (b) make cash contributions to such plan (other than through periodic wage withholding) without complying with the Trading Procedures. Any sale of securities acquired under such plan is subject to the prohibitions and restrictions of the Trading Procedures.</w:t>
      </w:r>
    </w:p>
    <w:p>
      <w:pPr>
        <w:spacing w:after="0" w:line="176" w:lineRule="exact"/>
        <w:rPr>
          <w:sz w:val="20"/>
          <w:szCs w:val="20"/>
          <w:color w:val="auto"/>
        </w:rPr>
      </w:pPr>
    </w:p>
    <w:p>
      <w:pPr>
        <w:ind w:left="440" w:hanging="432"/>
        <w:spacing w:after="0"/>
        <w:tabs>
          <w:tab w:leader="none" w:pos="440" w:val="left"/>
        </w:tabs>
        <w:numPr>
          <w:ilvl w:val="0"/>
          <w:numId w:val="80"/>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Waivers</w:t>
      </w:r>
    </w:p>
    <w:p>
      <w:pPr>
        <w:spacing w:after="0" w:line="212"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2"/>
          <w:szCs w:val="22"/>
          <w:color w:val="auto"/>
        </w:rPr>
        <w:t>A waiver of any provision of this Insider Trading Policy, or the Trading Procedures contained herein, in a specific instance may be authorized in writing by the Compliance Officer or his or her designee, and any such waiver shall be reported to the Company’s Board of Directors.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III. AMENDMENT</w:t>
      </w:r>
    </w:p>
    <w:p>
      <w:pPr>
        <w:spacing w:after="0" w:line="210" w:lineRule="exact"/>
        <w:rPr>
          <w:sz w:val="20"/>
          <w:szCs w:val="20"/>
          <w:color w:val="auto"/>
        </w:rPr>
      </w:pPr>
    </w:p>
    <w:p>
      <w:pPr>
        <w:ind w:right="800" w:firstLine="749"/>
        <w:spacing w:after="0" w:line="258" w:lineRule="auto"/>
        <w:rPr>
          <w:sz w:val="20"/>
          <w:szCs w:val="20"/>
          <w:color w:val="auto"/>
        </w:rPr>
      </w:pPr>
      <w:r>
        <w:rPr>
          <w:rFonts w:ascii="Times New Roman" w:cs="Times New Roman" w:eastAsia="Times New Roman" w:hAnsi="Times New Roman"/>
          <w:sz w:val="22"/>
          <w:szCs w:val="22"/>
          <w:color w:val="auto"/>
        </w:rPr>
        <w:t>This Insider Trading Policy may be amended from time to time with the approval of the Board of Directors or a designated committee thereof.</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IV. ACKNOWLEDGEMENT</w:t>
      </w:r>
    </w:p>
    <w:p>
      <w:pPr>
        <w:spacing w:after="0" w:line="210"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21"/>
          <w:szCs w:val="21"/>
          <w:color w:val="auto"/>
        </w:rPr>
        <w:t>This Insider Trading Policy will be delivered to all current Insiders and to all directors, officers, employees and designated consultants at the start of their employment or relationship with the Company. Upon first receiving a copy of this Insider Trading Policy, each individual must acknowledge that he or she has received a copy and agrees to comply with the terms of this Insider Trading Policy, and, if applicable, the Trading Procedures contained herein. An acknowledgement of this policy must be submitted electronically within thirty (30) days of the start of their employment or relationship with the Company.</w:t>
      </w:r>
    </w:p>
    <w:p>
      <w:pPr>
        <w:spacing w:after="0" w:line="168" w:lineRule="exact"/>
        <w:rPr>
          <w:sz w:val="20"/>
          <w:szCs w:val="20"/>
          <w:color w:val="auto"/>
        </w:rPr>
      </w:pPr>
    </w:p>
    <w:p>
      <w:pPr>
        <w:jc w:val="both"/>
        <w:ind w:right="480" w:firstLine="432"/>
        <w:spacing w:after="0" w:line="244" w:lineRule="auto"/>
        <w:rPr>
          <w:sz w:val="20"/>
          <w:szCs w:val="20"/>
          <w:color w:val="auto"/>
        </w:rPr>
      </w:pPr>
      <w:r>
        <w:rPr>
          <w:rFonts w:ascii="Times New Roman" w:cs="Times New Roman" w:eastAsia="Times New Roman" w:hAnsi="Times New Roman"/>
          <w:sz w:val="22"/>
          <w:szCs w:val="22"/>
          <w:color w:val="auto"/>
        </w:rPr>
        <w:t>This acknowledgment will constitute consent for the Company to impose sanctions for violation of the Insider Trading Policy, including the Trading Procedures, and to issue any necessary stop-transfer orders to the Company’s transfer agent to ensure compliance.</w:t>
      </w:r>
    </w:p>
    <w:p>
      <w:pPr>
        <w:spacing w:after="0" w:line="200" w:lineRule="exact"/>
        <w:rPr>
          <w:sz w:val="20"/>
          <w:szCs w:val="20"/>
          <w:color w:val="auto"/>
        </w:rPr>
      </w:pPr>
    </w:p>
    <w:p>
      <w:pPr>
        <w:ind w:right="100" w:firstLine="749"/>
        <w:spacing w:after="0" w:line="238" w:lineRule="auto"/>
        <w:rPr>
          <w:sz w:val="20"/>
          <w:szCs w:val="20"/>
          <w:color w:val="auto"/>
        </w:rPr>
      </w:pPr>
      <w:r>
        <w:rPr>
          <w:rFonts w:ascii="Times New Roman" w:cs="Times New Roman" w:eastAsia="Times New Roman" w:hAnsi="Times New Roman"/>
          <w:sz w:val="22"/>
          <w:szCs w:val="22"/>
          <w:color w:val="auto"/>
        </w:rPr>
        <w:t>All directors, officers, employees and designated consultants will be required upon the Company’s request to re-acknowledge and agree to comply with the Insider Trading Policy (including any amendments or modifications). For such purpose, an individual will be deemed to have acknowledged and agreed to comply with the Insider Trading Policy, as amended from time to time, when copies of such items have been delivered by regular or electronic mail (or other delivery option used by the Company) to the Compliance Officer or his or her designee.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tabs>
          <w:tab w:leader="none" w:pos="320" w:val="left"/>
          <w:tab w:leader="none" w:pos="3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2" w:right="379" w:bottom="1440" w:gutter="0" w:footer="0" w:header="0"/>
        </w:sectPr>
      </w:pPr>
    </w:p>
    <w:bookmarkStart w:id="140" w:name="page141"/>
    <w:bookmarkEnd w:id="140"/>
    <w:p>
      <w:pPr>
        <w:ind w:left="760"/>
        <w:spacing w:after="0"/>
        <w:rPr>
          <w:sz w:val="20"/>
          <w:szCs w:val="20"/>
          <w:color w:val="auto"/>
        </w:rPr>
      </w:pPr>
      <w:r>
        <w:rPr>
          <w:rFonts w:ascii="Times New Roman" w:cs="Times New Roman" w:eastAsia="Times New Roman" w:hAnsi="Times New Roman"/>
          <w:sz w:val="21"/>
          <w:szCs w:val="21"/>
          <w:color w:val="auto"/>
        </w:rPr>
        <w:t>Questions regarding this Insider Trading Policy are encouraged and may be directed to the Compliance Officer.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ADOPTED: June 9, 2021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AMENDED AND RESTATED: October 21, 2024</w:t>
      </w:r>
    </w:p>
    <w:p>
      <w:pPr>
        <w:spacing w:after="0" w:line="200" w:lineRule="exact"/>
        <w:rPr>
          <w:sz w:val="20"/>
          <w:szCs w:val="20"/>
          <w:color w:val="auto"/>
        </w:rPr>
      </w:pPr>
    </w:p>
    <w:p>
      <w:pPr>
        <w:spacing w:after="0" w:line="2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408" w:right="117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333-259448, 333-267224, 333-274298) and Form S-8 (Nos. 333-278016, 333-269620, 333-263893, and 333-260258) of Tango Therapeutics, Inc. of our report dated February 27, 2025 relating to the financial statements and the effectiveness of internal control over financial reporting, which appears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2" w:name="page143"/>
    <w:bookmarkEnd w:id="142"/>
    <w:p>
      <w:pPr>
        <w:ind w:left="10260"/>
        <w:spacing w:after="0"/>
        <w:rPr>
          <w:sz w:val="20"/>
          <w:szCs w:val="20"/>
          <w:color w:val="auto"/>
        </w:rPr>
      </w:pPr>
      <w:r>
        <w:rPr>
          <w:rFonts w:ascii="Times New Roman" w:cs="Times New Roman" w:eastAsia="Times New Roman" w:hAnsi="Times New Roman"/>
          <w:sz w:val="19"/>
          <w:szCs w:val="19"/>
          <w:color w:val="auto"/>
        </w:rPr>
        <w:t>Exhibit 31.1</w:t>
      </w:r>
    </w:p>
    <w:p>
      <w:pPr>
        <w:spacing w:after="0" w:line="237"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OF PRINCIPAL EXECUTIVE OFFICER PURSUANT TO RULE 13a-14(a) / RULE 15d-14(a) OF THE SECURITIES EXCHANGE ACT OF 1934, AS AMENDED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Barbara Weber, M.D., certify that:</w:t>
      </w:r>
    </w:p>
    <w:p>
      <w:pPr>
        <w:spacing w:after="0" w:line="229" w:lineRule="exact"/>
        <w:rPr>
          <w:sz w:val="20"/>
          <w:szCs w:val="20"/>
          <w:color w:val="auto"/>
        </w:rPr>
      </w:pPr>
    </w:p>
    <w:p>
      <w:pPr>
        <w:ind w:left="380" w:hanging="372"/>
        <w:spacing w:after="0"/>
        <w:tabs>
          <w:tab w:leader="none" w:pos="3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Tango Therapeutics, Inc.;</w:t>
      </w:r>
    </w:p>
    <w:p>
      <w:pPr>
        <w:spacing w:after="0" w:line="242"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9"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1" w:lineRule="exact"/>
        <w:rPr>
          <w:rFonts w:ascii="Times New Roman" w:cs="Times New Roman" w:eastAsia="Times New Roman" w:hAnsi="Times New Roman"/>
          <w:sz w:val="20"/>
          <w:szCs w:val="20"/>
          <w:color w:val="auto"/>
        </w:rPr>
      </w:pPr>
    </w:p>
    <w:p>
      <w:pPr>
        <w:jc w:val="both"/>
        <w:ind w:left="380" w:hanging="372"/>
        <w:spacing w:after="0" w:line="264" w:lineRule="auto"/>
        <w:tabs>
          <w:tab w:leader="none" w:pos="38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1020" w:hanging="368"/>
        <w:spacing w:after="0" w:line="254" w:lineRule="auto"/>
        <w:tabs>
          <w:tab w:leader="none" w:pos="102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3" w:name="page144"/>
    <w:bookmarkEnd w:id="143"/>
    <w:p>
      <w:pPr>
        <w:jc w:val="both"/>
        <w:ind w:left="372" w:hanging="372"/>
        <w:spacing w:after="0" w:line="254" w:lineRule="auto"/>
        <w:tabs>
          <w:tab w:leader="none" w:pos="37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Times New Roman" w:cs="Times New Roman" w:eastAsia="Times New Roman" w:hAnsi="Times New Roman"/>
          <w:sz w:val="20"/>
          <w:szCs w:val="20"/>
          <w:color w:val="auto"/>
        </w:rPr>
      </w:pPr>
    </w:p>
    <w:p>
      <w:pPr>
        <w:jc w:val="both"/>
        <w:ind w:left="1012" w:hanging="368"/>
        <w:spacing w:after="0" w:line="254" w:lineRule="auto"/>
        <w:tabs>
          <w:tab w:leader="none" w:pos="1012"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Times New Roman" w:cs="Times New Roman" w:eastAsia="Times New Roman" w:hAnsi="Times New Roman"/>
          <w:sz w:val="20"/>
          <w:szCs w:val="20"/>
          <w:color w:val="auto"/>
        </w:rPr>
      </w:pPr>
    </w:p>
    <w:p>
      <w:pPr>
        <w:ind w:left="1012" w:right="20" w:hanging="368"/>
        <w:spacing w:after="0" w:line="269" w:lineRule="auto"/>
        <w:tabs>
          <w:tab w:leader="none" w:pos="1012"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512"/>
        <w:spacing w:after="0"/>
        <w:tabs>
          <w:tab w:leader="none" w:pos="3712" w:val="left"/>
        </w:tabs>
        <w:rPr>
          <w:sz w:val="20"/>
          <w:szCs w:val="20"/>
          <w:color w:val="auto"/>
        </w:rPr>
      </w:pPr>
      <w:r>
        <w:rPr>
          <w:rFonts w:ascii="Times New Roman" w:cs="Times New Roman" w:eastAsia="Times New Roman" w:hAnsi="Times New Roman"/>
          <w:sz w:val="20"/>
          <w:szCs w:val="20"/>
          <w:color w:val="auto"/>
        </w:rPr>
        <w:t>Dated: February 27, 2025</w:t>
      </w:r>
      <w:r>
        <w:rPr>
          <w:sz w:val="20"/>
          <w:szCs w:val="20"/>
          <w:color w:val="auto"/>
        </w:rPr>
        <w:tab/>
      </w:r>
      <w:r>
        <w:rPr>
          <w:rFonts w:ascii="Times New Roman" w:cs="Times New Roman" w:eastAsia="Times New Roman" w:hAnsi="Times New Roman"/>
          <w:sz w:val="19"/>
          <w:szCs w:val="19"/>
          <w:u w:val="single" w:color="auto"/>
          <w:color w:val="auto"/>
        </w:rPr>
        <w:t>/s/ Barbara Weber, M.D.</w:t>
      </w:r>
    </w:p>
    <w:p>
      <w:pPr>
        <w:spacing w:after="0" w:line="135" w:lineRule="exact"/>
        <w:rPr>
          <w:sz w:val="20"/>
          <w:szCs w:val="20"/>
          <w:color w:val="auto"/>
        </w:rPr>
      </w:pPr>
    </w:p>
    <w:p>
      <w:pPr>
        <w:ind w:left="2312"/>
        <w:spacing w:after="0"/>
        <w:rPr>
          <w:sz w:val="20"/>
          <w:szCs w:val="20"/>
          <w:color w:val="auto"/>
        </w:rPr>
      </w:pPr>
      <w:r>
        <w:rPr>
          <w:rFonts w:ascii="Times New Roman" w:cs="Times New Roman" w:eastAsia="Times New Roman" w:hAnsi="Times New Roman"/>
          <w:sz w:val="20"/>
          <w:szCs w:val="20"/>
          <w:color w:val="auto"/>
        </w:rPr>
        <w:t>Barbara Weber, M.D.</w:t>
      </w:r>
    </w:p>
    <w:p>
      <w:pPr>
        <w:spacing w:after="0" w:line="21" w:lineRule="exact"/>
        <w:rPr>
          <w:sz w:val="20"/>
          <w:szCs w:val="20"/>
          <w:color w:val="auto"/>
        </w:rPr>
      </w:pPr>
    </w:p>
    <w:p>
      <w:pPr>
        <w:ind w:left="2312"/>
        <w:spacing w:after="0"/>
        <w:rPr>
          <w:sz w:val="20"/>
          <w:szCs w:val="20"/>
          <w:color w:val="auto"/>
        </w:rPr>
      </w:pPr>
      <w:r>
        <w:rPr>
          <w:rFonts w:ascii="Times New Roman" w:cs="Times New Roman" w:eastAsia="Times New Roman" w:hAnsi="Times New Roman"/>
          <w:sz w:val="20"/>
          <w:szCs w:val="20"/>
          <w:color w:val="auto"/>
        </w:rPr>
        <w:t>Chief Executive Officer</w:t>
      </w:r>
    </w:p>
    <w:p>
      <w:pPr>
        <w:ind w:left="2312"/>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1110615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144" w:name="page145"/>
    <w:bookmarkEnd w:id="144"/>
    <w:p>
      <w:pPr>
        <w:ind w:left="10260"/>
        <w:spacing w:after="0"/>
        <w:rPr>
          <w:sz w:val="20"/>
          <w:szCs w:val="20"/>
          <w:color w:val="auto"/>
        </w:rPr>
      </w:pPr>
      <w:r>
        <w:rPr>
          <w:rFonts w:ascii="Times New Roman" w:cs="Times New Roman" w:eastAsia="Times New Roman" w:hAnsi="Times New Roman"/>
          <w:sz w:val="19"/>
          <w:szCs w:val="19"/>
          <w:color w:val="auto"/>
        </w:rPr>
        <w:t>Exhibit 31.2</w:t>
      </w:r>
    </w:p>
    <w:p>
      <w:pPr>
        <w:spacing w:after="0" w:line="237"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OF PRINCIPAL FINANCIAL OFFICER PURSUANT TO RULE 13a-14(a) / RULE 15d-14(a) OF THE SECURITIES EXCHANGE ACT OF 1934, AS AMENDED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Daniella Beckman, certify that:</w:t>
      </w:r>
    </w:p>
    <w:p>
      <w:pPr>
        <w:spacing w:after="0" w:line="229" w:lineRule="exact"/>
        <w:rPr>
          <w:sz w:val="20"/>
          <w:szCs w:val="20"/>
          <w:color w:val="auto"/>
        </w:rPr>
      </w:pPr>
    </w:p>
    <w:p>
      <w:pPr>
        <w:ind w:left="380" w:hanging="372"/>
        <w:spacing w:after="0"/>
        <w:tabs>
          <w:tab w:leader="none" w:pos="3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Tango Therapeutics, Inc.;</w:t>
      </w:r>
    </w:p>
    <w:p>
      <w:pPr>
        <w:spacing w:after="0" w:line="242"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9"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1" w:lineRule="exact"/>
        <w:rPr>
          <w:rFonts w:ascii="Times New Roman" w:cs="Times New Roman" w:eastAsia="Times New Roman" w:hAnsi="Times New Roman"/>
          <w:sz w:val="20"/>
          <w:szCs w:val="20"/>
          <w:color w:val="auto"/>
        </w:rPr>
      </w:pPr>
    </w:p>
    <w:p>
      <w:pPr>
        <w:jc w:val="both"/>
        <w:ind w:left="380" w:hanging="372"/>
        <w:spacing w:after="0" w:line="264" w:lineRule="auto"/>
        <w:tabs>
          <w:tab w:leader="none" w:pos="38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1020" w:hanging="368"/>
        <w:spacing w:after="0" w:line="254" w:lineRule="auto"/>
        <w:tabs>
          <w:tab w:leader="none" w:pos="102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5" w:name="page146"/>
    <w:bookmarkEnd w:id="145"/>
    <w:p>
      <w:pPr>
        <w:jc w:val="both"/>
        <w:ind w:left="372" w:hanging="372"/>
        <w:spacing w:after="0" w:line="254" w:lineRule="auto"/>
        <w:tabs>
          <w:tab w:leader="none" w:pos="372"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Times New Roman" w:cs="Times New Roman" w:eastAsia="Times New Roman" w:hAnsi="Times New Roman"/>
          <w:sz w:val="20"/>
          <w:szCs w:val="20"/>
          <w:color w:val="auto"/>
        </w:rPr>
      </w:pPr>
    </w:p>
    <w:p>
      <w:pPr>
        <w:jc w:val="both"/>
        <w:ind w:left="1012" w:hanging="368"/>
        <w:spacing w:after="0" w:line="254" w:lineRule="auto"/>
        <w:tabs>
          <w:tab w:leader="none" w:pos="1012"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Times New Roman" w:cs="Times New Roman" w:eastAsia="Times New Roman" w:hAnsi="Times New Roman"/>
          <w:sz w:val="20"/>
          <w:szCs w:val="20"/>
          <w:color w:val="auto"/>
        </w:rPr>
      </w:pPr>
    </w:p>
    <w:p>
      <w:pPr>
        <w:ind w:left="1012" w:right="20" w:hanging="368"/>
        <w:spacing w:after="0" w:line="269" w:lineRule="auto"/>
        <w:tabs>
          <w:tab w:leader="none" w:pos="1012"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512"/>
        <w:spacing w:after="0"/>
        <w:tabs>
          <w:tab w:leader="none" w:pos="3712" w:val="left"/>
        </w:tabs>
        <w:rPr>
          <w:sz w:val="20"/>
          <w:szCs w:val="20"/>
          <w:color w:val="auto"/>
        </w:rPr>
      </w:pPr>
      <w:r>
        <w:rPr>
          <w:rFonts w:ascii="Times New Roman" w:cs="Times New Roman" w:eastAsia="Times New Roman" w:hAnsi="Times New Roman"/>
          <w:sz w:val="20"/>
          <w:szCs w:val="20"/>
          <w:color w:val="auto"/>
        </w:rPr>
        <w:t>Dated: February 27, 2025</w:t>
      </w:r>
      <w:r>
        <w:rPr>
          <w:sz w:val="20"/>
          <w:szCs w:val="20"/>
          <w:color w:val="auto"/>
        </w:rPr>
        <w:tab/>
      </w:r>
      <w:r>
        <w:rPr>
          <w:rFonts w:ascii="Times New Roman" w:cs="Times New Roman" w:eastAsia="Times New Roman" w:hAnsi="Times New Roman"/>
          <w:sz w:val="19"/>
          <w:szCs w:val="19"/>
          <w:u w:val="single" w:color="auto"/>
          <w:color w:val="auto"/>
        </w:rPr>
        <w:t>/s/ Daniella Beckman</w:t>
      </w:r>
    </w:p>
    <w:p>
      <w:pPr>
        <w:spacing w:after="0" w:line="135" w:lineRule="exact"/>
        <w:rPr>
          <w:sz w:val="20"/>
          <w:szCs w:val="20"/>
          <w:color w:val="auto"/>
        </w:rPr>
      </w:pPr>
    </w:p>
    <w:p>
      <w:pPr>
        <w:ind w:left="2312"/>
        <w:spacing w:after="0"/>
        <w:rPr>
          <w:sz w:val="20"/>
          <w:szCs w:val="20"/>
          <w:color w:val="auto"/>
        </w:rPr>
      </w:pPr>
      <w:r>
        <w:rPr>
          <w:rFonts w:ascii="Times New Roman" w:cs="Times New Roman" w:eastAsia="Times New Roman" w:hAnsi="Times New Roman"/>
          <w:sz w:val="20"/>
          <w:szCs w:val="20"/>
          <w:color w:val="auto"/>
        </w:rPr>
        <w:t>Daniella Beckman</w:t>
      </w:r>
    </w:p>
    <w:p>
      <w:pPr>
        <w:spacing w:after="0" w:line="21" w:lineRule="exact"/>
        <w:rPr>
          <w:sz w:val="20"/>
          <w:szCs w:val="20"/>
          <w:color w:val="auto"/>
        </w:rPr>
      </w:pPr>
    </w:p>
    <w:p>
      <w:pPr>
        <w:ind w:left="2312"/>
        <w:spacing w:after="0"/>
        <w:rPr>
          <w:sz w:val="20"/>
          <w:szCs w:val="20"/>
          <w:color w:val="auto"/>
        </w:rPr>
      </w:pPr>
      <w:r>
        <w:rPr>
          <w:rFonts w:ascii="Times New Roman" w:cs="Times New Roman" w:eastAsia="Times New Roman" w:hAnsi="Times New Roman"/>
          <w:sz w:val="20"/>
          <w:szCs w:val="20"/>
          <w:color w:val="auto"/>
        </w:rPr>
        <w:t>Chief Financial Officer</w:t>
      </w:r>
    </w:p>
    <w:p>
      <w:pPr>
        <w:ind w:left="2312"/>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878840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0"/>
          <w:szCs w:val="20"/>
          <w:color w:val="auto"/>
        </w:rPr>
        <w:t>Exhibit 32.1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ind w:right="140" w:firstLine="749"/>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on Form 10-K of Tango Therapeutics, Inc. (the “Company”) for the fiscal year ended December 31, 2024 as filed with the Securities and Exchange Commission (the “Report”), I, Barbara Weber, M.D., Chief Executive Officer of the Company, certify, pursuant to 18 U.S.C. § 1350, as adopted pursuant to § 906 of the Sarbanes-Oxley Act of 2002, to my knowledge, that:</w:t>
      </w:r>
    </w:p>
    <w:p>
      <w:pPr>
        <w:spacing w:after="0" w:line="193" w:lineRule="exact"/>
        <w:rPr>
          <w:sz w:val="20"/>
          <w:szCs w:val="20"/>
          <w:color w:val="auto"/>
        </w:rPr>
      </w:pPr>
    </w:p>
    <w:p>
      <w:pPr>
        <w:ind w:left="760" w:hanging="378"/>
        <w:spacing w:after="0"/>
        <w:tabs>
          <w:tab w:leader="none" w:pos="7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760" w:right="220" w:hanging="378"/>
        <w:spacing w:after="0" w:line="269" w:lineRule="auto"/>
        <w:tabs>
          <w:tab w:leader="none" w:pos="7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20"/>
          <w:szCs w:val="20"/>
          <w:color w:val="auto"/>
        </w:rPr>
        <w:t>Dated:  February 27, 2025</w:t>
      </w:r>
      <w:r>
        <w:rPr>
          <w:sz w:val="20"/>
          <w:szCs w:val="20"/>
          <w:color w:val="auto"/>
        </w:rPr>
        <w:tab/>
      </w:r>
      <w:r>
        <w:rPr>
          <w:rFonts w:ascii="Times New Roman" w:cs="Times New Roman" w:eastAsia="Times New Roman" w:hAnsi="Times New Roman"/>
          <w:sz w:val="19"/>
          <w:szCs w:val="19"/>
          <w:u w:val="single" w:color="auto"/>
          <w:color w:val="auto"/>
        </w:rPr>
        <w:t>/s/ Barbara Weber, M.D.</w:t>
      </w:r>
    </w:p>
    <w:p>
      <w:pPr>
        <w:spacing w:after="0" w:line="10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Barbara Weber, M.D.</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Chief Executive Officer</w:t>
      </w:r>
    </w:p>
    <w:p>
      <w:pPr>
        <w:ind w:left="278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0" w:lineRule="exact"/>
        <w:rPr>
          <w:sz w:val="20"/>
          <w:szCs w:val="20"/>
          <w:color w:val="auto"/>
        </w:rPr>
      </w:pPr>
    </w:p>
    <w:p>
      <w:pPr>
        <w:spacing w:after="0" w:line="23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1089025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0"/>
          <w:szCs w:val="20"/>
          <w:color w:val="auto"/>
        </w:rPr>
        <w:t>Exhibit 32.2</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ind w:right="40" w:firstLine="749"/>
        <w:spacing w:after="0" w:line="274" w:lineRule="auto"/>
        <w:rPr>
          <w:sz w:val="20"/>
          <w:szCs w:val="20"/>
          <w:color w:val="auto"/>
        </w:rPr>
      </w:pPr>
      <w:r>
        <w:rPr>
          <w:rFonts w:ascii="Times New Roman" w:cs="Times New Roman" w:eastAsia="Times New Roman" w:hAnsi="Times New Roman"/>
          <w:sz w:val="19"/>
          <w:szCs w:val="19"/>
          <w:color w:val="auto"/>
        </w:rPr>
        <w:t>In connection with the Annual Report on Form 10-K of Tango Therapeutics, Inc. (the “Company”) for the fiscal year ended December 31, 2024 as filed with the Securities and Exchange Commission (the “Report”), I, Daniella Beckman, Chief Financial Officer of the Company, certify, pursuant to 18 U.S.C. § 1350, as adopted pursuant to § 906 of the Sarbanes-Oxley Act of 2002, to my knowledge, that:</w:t>
      </w:r>
    </w:p>
    <w:p>
      <w:pPr>
        <w:spacing w:after="0" w:line="170" w:lineRule="exact"/>
        <w:rPr>
          <w:sz w:val="20"/>
          <w:szCs w:val="20"/>
          <w:color w:val="auto"/>
        </w:rPr>
      </w:pPr>
    </w:p>
    <w:p>
      <w:pPr>
        <w:ind w:left="760" w:hanging="378"/>
        <w:spacing w:after="0"/>
        <w:tabs>
          <w:tab w:leader="none" w:pos="7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760" w:right="220" w:hanging="378"/>
        <w:spacing w:after="0" w:line="269" w:lineRule="auto"/>
        <w:tabs>
          <w:tab w:leader="none" w:pos="7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20"/>
          <w:szCs w:val="20"/>
          <w:color w:val="auto"/>
        </w:rPr>
        <w:t>Dated:  February 27, 2025</w:t>
      </w:r>
      <w:r>
        <w:rPr>
          <w:sz w:val="20"/>
          <w:szCs w:val="20"/>
          <w:color w:val="auto"/>
        </w:rPr>
        <w:tab/>
      </w:r>
      <w:r>
        <w:rPr>
          <w:rFonts w:ascii="Times New Roman" w:cs="Times New Roman" w:eastAsia="Times New Roman" w:hAnsi="Times New Roman"/>
          <w:sz w:val="19"/>
          <w:szCs w:val="19"/>
          <w:u w:val="single" w:color="auto"/>
          <w:color w:val="auto"/>
        </w:rPr>
        <w:t>/s/ Daniella Beckman</w:t>
      </w:r>
    </w:p>
    <w:p>
      <w:pPr>
        <w:spacing w:after="0" w:line="10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Daniella Beckman</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Chief Financial Officer</w:t>
      </w:r>
    </w:p>
    <w:p>
      <w:pPr>
        <w:ind w:left="278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0" w:lineRule="exact"/>
        <w:rPr>
          <w:sz w:val="20"/>
          <w:szCs w:val="20"/>
          <w:color w:val="auto"/>
        </w:rPr>
      </w:pPr>
    </w:p>
    <w:p>
      <w:pPr>
        <w:spacing w:after="0" w:line="23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1089025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8" w:name="page149"/>
    <w:bookmarkEnd w:id="1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1."/>
      <w:numFmt w:val="lowerRoman"/>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amp;"/>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o"/>
      <w:numFmt w:val="bullet"/>
      <w:start w:val="1"/>
    </w:lvl>
  </w:abstractNum>
  <w:abstractNum w:abstractNumId="23">
    <w:nsid w:val="23F9C13C"/>
    <w:multiLevelType w:val="hybridMultilevel"/>
    <w:lvl w:ilvl="0">
      <w:lvlJc w:val="left"/>
      <w:lvlText w:val="(%1)"/>
      <w:numFmt w:val="lowerRoman"/>
      <w:start w:val="3"/>
    </w:lvl>
  </w:abstractNum>
  <w:abstractNum w:abstractNumId="24">
    <w:nsid w:val="649BB77C"/>
    <w:multiLevelType w:val="hybridMultilevel"/>
    <w:lvl w:ilvl="0">
      <w:lvlJc w:val="left"/>
      <w:lvlText w:val=" "/>
      <w:numFmt w:val="bullet"/>
      <w:start w:val="1"/>
    </w:lvl>
  </w:abstractNum>
  <w:abstractNum w:abstractNumId="25">
    <w:nsid w:val="275AC794"/>
    <w:multiLevelType w:val="hybridMultilevel"/>
    <w:lvl w:ilvl="0">
      <w:lvlJc w:val="left"/>
      <w:lvlText w:val=" "/>
      <w:numFmt w:val="bullet"/>
      <w:start w:val="1"/>
    </w:lvl>
  </w:abstractNum>
  <w:abstractNum w:abstractNumId="26">
    <w:nsid w:val="39386575"/>
    <w:multiLevelType w:val="hybridMultilevel"/>
    <w:lvl w:ilvl="0">
      <w:lvlJc w:val="left"/>
      <w:lvlText w:val=" "/>
      <w:numFmt w:val="bullet"/>
      <w:start w:val="1"/>
    </w:lvl>
  </w:abstractNum>
  <w:abstractNum w:abstractNumId="27">
    <w:nsid w:val="1CF10FD8"/>
    <w:multiLevelType w:val="hybridMultilevel"/>
    <w:lvl w:ilvl="0">
      <w:lvlJc w:val="left"/>
      <w:lvlText w:val=" "/>
      <w:numFmt w:val="bullet"/>
      <w:start w:val="1"/>
    </w:lvl>
  </w:abstractNum>
  <w:abstractNum w:abstractNumId="28">
    <w:nsid w:val="180115BE"/>
    <w:multiLevelType w:val="hybridMultilevel"/>
    <w:lvl w:ilvl="0">
      <w:lvlJc w:val="left"/>
      <w:lvlText w:val=" "/>
      <w:numFmt w:val="bullet"/>
      <w:start w:val="1"/>
    </w:lvl>
  </w:abstractNum>
  <w:abstractNum w:abstractNumId="29">
    <w:nsid w:val="235BA861"/>
    <w:multiLevelType w:val="hybridMultilevel"/>
    <w:lvl w:ilvl="0">
      <w:lvlJc w:val="left"/>
      <w:lvlText w:val=" "/>
      <w:numFmt w:val="bullet"/>
      <w:start w:val="1"/>
    </w:lvl>
  </w:abstractNum>
  <w:abstractNum w:abstractNumId="30">
    <w:nsid w:val="47398C89"/>
    <w:multiLevelType w:val="hybridMultilevel"/>
    <w:lvl w:ilvl="0">
      <w:lvlJc w:val="left"/>
      <w:lvlText w:val=" "/>
      <w:numFmt w:val="bullet"/>
      <w:start w:val="1"/>
    </w:lvl>
  </w:abstractNum>
  <w:abstractNum w:abstractNumId="31">
    <w:nsid w:val="354FE9F9"/>
    <w:multiLevelType w:val="hybridMultilevel"/>
    <w:lvl w:ilvl="0">
      <w:lvlJc w:val="left"/>
      <w:lvlText w:val=" "/>
      <w:numFmt w:val="bullet"/>
      <w:start w:val="1"/>
    </w:lvl>
  </w:abstractNum>
  <w:abstractNum w:abstractNumId="32">
    <w:nsid w:val="15B5AF5C"/>
    <w:multiLevelType w:val="hybridMultilevel"/>
    <w:lvl w:ilvl="0">
      <w:lvlJc w:val="left"/>
      <w:lvlText w:val=" "/>
      <w:numFmt w:val="bullet"/>
      <w:start w:val="1"/>
    </w:lvl>
  </w:abstractNum>
  <w:abstractNum w:abstractNumId="33">
    <w:nsid w:val="741226BB"/>
    <w:multiLevelType w:val="hybridMultilevel"/>
    <w:lvl w:ilvl="0">
      <w:lvlJc w:val="left"/>
      <w:lvlText w:val=" "/>
      <w:numFmt w:val="bullet"/>
      <w:start w:val="1"/>
    </w:lvl>
  </w:abstractNum>
  <w:abstractNum w:abstractNumId="34">
    <w:nsid w:val="D34B6A8"/>
    <w:multiLevelType w:val="hybridMultilevel"/>
    <w:lvl w:ilvl="0">
      <w:lvlJc w:val="left"/>
      <w:lvlText w:val=" "/>
      <w:numFmt w:val="bullet"/>
      <w:start w:val="1"/>
    </w:lvl>
  </w:abstractNum>
  <w:abstractNum w:abstractNumId="35">
    <w:nsid w:val="10233C99"/>
    <w:multiLevelType w:val="hybridMultilevel"/>
    <w:lvl w:ilvl="0">
      <w:lvlJc w:val="left"/>
      <w:lvlText w:val=" "/>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
      <w:numFmt w:val="bullet"/>
      <w:start w:val="1"/>
    </w:lvl>
  </w:abstractNum>
  <w:abstractNum w:abstractNumId="38">
    <w:nsid w:val="7E0C57B1"/>
    <w:multiLevelType w:val="hybridMultilevel"/>
    <w:lvl w:ilvl="0">
      <w:lvlJc w:val="left"/>
      <w:lvlText w:val=" "/>
      <w:numFmt w:val="bullet"/>
      <w:start w:val="1"/>
    </w:lvl>
  </w:abstractNum>
  <w:abstractNum w:abstractNumId="39">
    <w:nsid w:val="77AE35EB"/>
    <w:multiLevelType w:val="hybridMultilevel"/>
    <w:lvl w:ilvl="0">
      <w:lvlJc w:val="left"/>
      <w:lvlText w:val=" "/>
      <w:numFmt w:val="bullet"/>
      <w:start w:val="1"/>
    </w:lvl>
  </w:abstractNum>
  <w:abstractNum w:abstractNumId="40">
    <w:nsid w:val="579BE4F1"/>
    <w:multiLevelType w:val="hybridMultilevel"/>
    <w:lvl w:ilvl="0">
      <w:lvlJc w:val="left"/>
      <w:lvlText w:val=" "/>
      <w:numFmt w:val="bullet"/>
      <w:start w:val="1"/>
    </w:lvl>
  </w:abstractNum>
  <w:abstractNum w:abstractNumId="41">
    <w:nsid w:val="310C50B3"/>
    <w:multiLevelType w:val="hybridMultilevel"/>
    <w:lvl w:ilvl="0">
      <w:lvlJc w:val="left"/>
      <w:lvlText w:val=" "/>
      <w:numFmt w:val="bullet"/>
      <w:start w:val="1"/>
    </w:lvl>
  </w:abstractNum>
  <w:abstractNum w:abstractNumId="42">
    <w:nsid w:val="5FF87E05"/>
    <w:multiLevelType w:val="hybridMultilevel"/>
    <w:lvl w:ilvl="0">
      <w:lvlJc w:val="left"/>
      <w:lvlText w:val=" "/>
      <w:numFmt w:val="bullet"/>
      <w:start w:val="1"/>
    </w:lvl>
  </w:abstractNum>
  <w:abstractNum w:abstractNumId="43">
    <w:nsid w:val="2F305DEF"/>
    <w:multiLevelType w:val="hybridMultilevel"/>
    <w:lvl w:ilvl="0">
      <w:lvlJc w:val="left"/>
      <w:lvlText w:val=" "/>
      <w:numFmt w:val="bullet"/>
      <w:start w:val="1"/>
    </w:lvl>
  </w:abstractNum>
  <w:abstractNum w:abstractNumId="44">
    <w:nsid w:val="25A70BF7"/>
    <w:multiLevelType w:val="hybridMultilevel"/>
    <w:lvl w:ilvl="0">
      <w:lvlJc w:val="left"/>
      <w:lvlText w:val=" "/>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1)"/>
      <w:numFmt w:val="lowerLetter"/>
      <w:start w:val="4"/>
    </w:lvl>
  </w:abstractNum>
  <w:abstractNum w:abstractNumId="48">
    <w:nsid w:val="1381823A"/>
    <w:multiLevelType w:val="hybridMultilevel"/>
    <w:lvl w:ilvl="0">
      <w:lvlJc w:val="left"/>
      <w:lvlText w:val="*"/>
      <w:numFmt w:val="bullet"/>
      <w:start w:val="1"/>
    </w:lvl>
    <w:lvl w:ilvl="1">
      <w:lvlJc w:val="left"/>
      <w:lvlText w:val="%2"/>
      <w:numFmt w:val="decimal"/>
      <w:start w:val="104"/>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1."/>
      <w:numFmt w:val="decimal"/>
      <w:start w:val="2"/>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1."/>
      <w:numFmt w:val="decimal"/>
      <w:start w:val="6"/>
    </w:lvl>
  </w:abstractNum>
  <w:abstractNum w:abstractNumId="56">
    <w:nsid w:val="6B94764"/>
    <w:multiLevelType w:val="hybridMultilevel"/>
    <w:lvl w:ilvl="0">
      <w:lvlJc w:val="left"/>
      <w:lvlText w:val="(%1)"/>
      <w:numFmt w:val="lowerLetter"/>
      <w:start w:val="1"/>
    </w:lvl>
  </w:abstractNum>
  <w:abstractNum w:abstractNumId="57">
    <w:nsid w:val="42C296BD"/>
    <w:multiLevelType w:val="hybridMultilevel"/>
    <w:lvl w:ilvl="0">
      <w:lvlJc w:val="left"/>
      <w:lvlText w:val="%1."/>
      <w:numFmt w:val="upperLetter"/>
      <w:start w:val="1"/>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1."/>
      <w:numFmt w:val="upperLetter"/>
      <w:start w:val="2"/>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1."/>
      <w:numFmt w:val="upperLetter"/>
      <w:start w:val="3"/>
    </w:lvl>
  </w:abstractNum>
  <w:abstractNum w:abstractNumId="64">
    <w:nsid w:val="51D9C564"/>
    <w:multiLevelType w:val="hybridMultilevel"/>
    <w:lvl w:ilvl="0">
      <w:lvlJc w:val="left"/>
      <w:lvlText w:val="•"/>
      <w:numFmt w:val="bullet"/>
      <w:start w:val="1"/>
    </w:lvl>
  </w:abstractNum>
  <w:abstractNum w:abstractNumId="65">
    <w:nsid w:val="613EFDC5"/>
    <w:multiLevelType w:val="hybridMultilevel"/>
    <w:lvl w:ilvl="0">
      <w:lvlJc w:val="left"/>
      <w:lvlText w:val="•"/>
      <w:numFmt w:val="bullet"/>
      <w:start w:val="1"/>
    </w:lvl>
  </w:abstractNum>
  <w:abstractNum w:abstractNumId="66">
    <w:nsid w:val="BF72B14"/>
    <w:multiLevelType w:val="hybridMultilevel"/>
    <w:lvl w:ilvl="0">
      <w:lvlJc w:val="left"/>
      <w:lvlText w:val="%1."/>
      <w:numFmt w:val="upperLetter"/>
      <w:start w:val="4"/>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1."/>
      <w:numFmt w:val="upperLetter"/>
      <w:start w:val="5"/>
    </w:lvl>
  </w:abstractNum>
  <w:abstractNum w:abstractNumId="69">
    <w:nsid w:val="A0382C5"/>
    <w:multiLevelType w:val="hybridMultilevel"/>
    <w:lvl w:ilvl="0">
      <w:lvlJc w:val="left"/>
      <w:lvlText w:val="%1."/>
      <w:numFmt w:val="upperLetter"/>
      <w:start w:val="1"/>
    </w:lvl>
  </w:abstractNum>
  <w:abstractNum w:abstractNumId="70">
    <w:nsid w:val="8F2B15E"/>
    <w:multiLevelType w:val="hybridMultilevel"/>
    <w:lvl w:ilvl="0">
      <w:lvlJc w:val="left"/>
      <w:lvlText w:val="%1."/>
      <w:numFmt w:val="upperLetter"/>
      <w:start w:val="2"/>
    </w:lvl>
  </w:abstractNum>
  <w:abstractNum w:abstractNumId="71">
    <w:nsid w:val="1A32234B"/>
    <w:multiLevelType w:val="hybridMultilevel"/>
    <w:lvl w:ilvl="0">
      <w:lvlJc w:val="left"/>
      <w:lvlText w:val="%1."/>
      <w:numFmt w:val="decimal"/>
      <w:start w:val="1"/>
    </w:lvl>
    <w:lvl w:ilvl="1">
      <w:lvlJc w:val="left"/>
      <w:lvlText w:val="•"/>
      <w:numFmt w:val="bullet"/>
      <w:start w:val="1"/>
    </w:lvl>
  </w:abstractNum>
  <w:abstractNum w:abstractNumId="72">
    <w:nsid w:val="3B0FD379"/>
    <w:multiLevelType w:val="hybridMultilevel"/>
    <w:lvl w:ilvl="0">
      <w:lvlJc w:val="left"/>
      <w:lvlText w:val="%1."/>
      <w:numFmt w:val="decimal"/>
      <w:start w:val="2"/>
    </w:lvl>
  </w:abstractNum>
  <w:abstractNum w:abstractNumId="73">
    <w:nsid w:val="68EB2F63"/>
    <w:multiLevelType w:val="hybridMultilevel"/>
    <w:lvl w:ilvl="0">
      <w:lvlJc w:val="left"/>
      <w:lvlText w:val="%1."/>
      <w:numFmt w:val="decimal"/>
      <w:start w:val="3"/>
    </w:lvl>
  </w:abstractNum>
  <w:abstractNum w:abstractNumId="74">
    <w:nsid w:val="4962813B"/>
    <w:multiLevelType w:val="hybridMultilevel"/>
    <w:lvl w:ilvl="0">
      <w:lvlJc w:val="left"/>
      <w:lvlText w:val="%1."/>
      <w:numFmt w:val="decimal"/>
      <w:start w:val="4"/>
    </w:lvl>
  </w:abstractNum>
  <w:abstractNum w:abstractNumId="75">
    <w:nsid w:val="60B6DF70"/>
    <w:multiLevelType w:val="hybridMultilevel"/>
    <w:lvl w:ilvl="0">
      <w:lvlJc w:val="left"/>
      <w:lvlText w:val="%1."/>
      <w:numFmt w:val="decimal"/>
      <w:start w:val="5"/>
    </w:lvl>
  </w:abstractNum>
  <w:abstractNum w:abstractNumId="76">
    <w:nsid w:val="6A5EE64"/>
    <w:multiLevelType w:val="hybridMultilevel"/>
    <w:lvl w:ilvl="0">
      <w:lvlJc w:val="left"/>
      <w:lvlText w:val="%1."/>
      <w:numFmt w:val="decimal"/>
      <w:start w:val="6"/>
    </w:lvl>
  </w:abstractNum>
  <w:abstractNum w:abstractNumId="77">
    <w:nsid w:val="14330624"/>
    <w:multiLevelType w:val="hybridMultilevel"/>
    <w:lvl w:ilvl="0">
      <w:lvlJc w:val="left"/>
      <w:lvlText w:val="%1."/>
      <w:numFmt w:val="upperLetter"/>
      <w:start w:val="3"/>
    </w:lvl>
    <w:lvl w:ilvl="1">
      <w:lvlJc w:val="left"/>
      <w:lvlText w:val="%2."/>
      <w:numFmt w:val="decimal"/>
      <w:start w:val="1"/>
    </w:lvl>
  </w:abstractNum>
  <w:abstractNum w:abstractNumId="78">
    <w:nsid w:val="7FFFCA11"/>
    <w:multiLevelType w:val="hybridMultilevel"/>
    <w:lvl w:ilvl="0">
      <w:lvlJc w:val="left"/>
      <w:lvlText w:val="%1."/>
      <w:numFmt w:val="decimal"/>
      <w:start w:val="2"/>
    </w:lvl>
  </w:abstractNum>
  <w:abstractNum w:abstractNumId="79">
    <w:nsid w:val="1A27709E"/>
    <w:multiLevelType w:val="hybridMultilevel"/>
    <w:lvl w:ilvl="0">
      <w:lvlJc w:val="left"/>
      <w:lvlText w:val="%1."/>
      <w:numFmt w:val="upperLetter"/>
      <w:start w:val="4"/>
    </w:lvl>
  </w:abstractNum>
  <w:abstractNum w:abstractNumId="80">
    <w:nsid w:val="71EA1109"/>
    <w:multiLevelType w:val="hybridMultilevel"/>
    <w:lvl w:ilvl="0">
      <w:lvlJc w:val="left"/>
      <w:lvlText w:val="%1."/>
      <w:numFmt w:val="decimal"/>
      <w:start w:val="1"/>
    </w:lvl>
    <w:lvl w:ilvl="1">
      <w:lvlJc w:val="left"/>
      <w:lvlText w:val="(%2)"/>
      <w:numFmt w:val="lowerLetter"/>
      <w:start w:val="1"/>
    </w:lvl>
  </w:abstractNum>
  <w:abstractNum w:abstractNumId="81">
    <w:nsid w:val="100F59DC"/>
    <w:multiLevelType w:val="hybridMultilevel"/>
    <w:lvl w:ilvl="0">
      <w:lvlJc w:val="left"/>
      <w:lvlText w:val="%1."/>
      <w:numFmt w:val="decimal"/>
      <w:start w:val="5"/>
    </w:lvl>
    <w:lvl w:ilvl="1">
      <w:lvlJc w:val="left"/>
      <w:lvlText w:val="(%2)"/>
      <w:numFmt w:val="lowerLetter"/>
      <w:start w:val="1"/>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decimal"/>
      <w:start w:val="5"/>
    </w:lvl>
    <w:lvl w:ilvl="1">
      <w:lvlJc w:val="left"/>
      <w:lvlText w:val="(%2)"/>
      <w:numFmt w:val="lowerLetter"/>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57"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284" Type="http://schemas.openxmlformats.org/officeDocument/2006/relationships/image" Target="media/image256.png"/><Relationship Id="rId285" Type="http://schemas.openxmlformats.org/officeDocument/2006/relationships/image" Target="media/image257.png"/><Relationship Id="rId286" Type="http://schemas.openxmlformats.org/officeDocument/2006/relationships/image" Target="media/image258.png"/><Relationship Id="rId287" Type="http://schemas.openxmlformats.org/officeDocument/2006/relationships/image" Target="media/image259.png"/><Relationship Id="rId288" Type="http://schemas.openxmlformats.org/officeDocument/2006/relationships/image" Target="media/image260.png"/><Relationship Id="rId289" Type="http://schemas.openxmlformats.org/officeDocument/2006/relationships/image" Target="media/image261.png"/><Relationship Id="rId290" Type="http://schemas.openxmlformats.org/officeDocument/2006/relationships/image" Target="media/image262.png"/><Relationship Id="rId291" Type="http://schemas.openxmlformats.org/officeDocument/2006/relationships/image" Target="media/image263.png"/><Relationship Id="rId292" Type="http://schemas.openxmlformats.org/officeDocument/2006/relationships/image" Target="media/image264.png"/><Relationship Id="rId293" Type="http://schemas.openxmlformats.org/officeDocument/2006/relationships/image" Target="media/image265.png"/><Relationship Id="rId294" Type="http://schemas.openxmlformats.org/officeDocument/2006/relationships/image" Target="media/image266.png"/><Relationship Id="rId295" Type="http://schemas.openxmlformats.org/officeDocument/2006/relationships/image" Target="media/image267.png"/><Relationship Id="rId296" Type="http://schemas.openxmlformats.org/officeDocument/2006/relationships/image" Target="media/image268.png"/><Relationship Id="rId297" Type="http://schemas.openxmlformats.org/officeDocument/2006/relationships/image" Target="media/image269.png"/><Relationship Id="rId298" Type="http://schemas.openxmlformats.org/officeDocument/2006/relationships/image" Target="media/image270.png"/><Relationship Id="rId299" Type="http://schemas.openxmlformats.org/officeDocument/2006/relationships/image" Target="media/image271.png"/><Relationship Id="rId300" Type="http://schemas.openxmlformats.org/officeDocument/2006/relationships/image" Target="media/image272.png"/><Relationship Id="rId301" Type="http://schemas.openxmlformats.org/officeDocument/2006/relationships/image" Target="media/image273.png"/><Relationship Id="rId302" Type="http://schemas.openxmlformats.org/officeDocument/2006/relationships/image" Target="media/image274.png"/><Relationship Id="rId303" Type="http://schemas.openxmlformats.org/officeDocument/2006/relationships/image" Target="media/image275.png"/><Relationship Id="rId304" Type="http://schemas.openxmlformats.org/officeDocument/2006/relationships/image" Target="media/image276.png"/><Relationship Id="rId305" Type="http://schemas.openxmlformats.org/officeDocument/2006/relationships/image" Target="media/image277.png"/><Relationship Id="rId306" Type="http://schemas.openxmlformats.org/officeDocument/2006/relationships/image" Target="media/image278.png"/><Relationship Id="rId307" Type="http://schemas.openxmlformats.org/officeDocument/2006/relationships/image" Target="media/image279.png"/><Relationship Id="rId308" Type="http://schemas.openxmlformats.org/officeDocument/2006/relationships/image" Target="media/image280.png"/><Relationship Id="rId309" Type="http://schemas.openxmlformats.org/officeDocument/2006/relationships/image" Target="media/image281.png"/><Relationship Id="rId310" Type="http://schemas.openxmlformats.org/officeDocument/2006/relationships/image" Target="media/image282.png"/><Relationship Id="rId311" Type="http://schemas.openxmlformats.org/officeDocument/2006/relationships/image" Target="media/image283.png"/><Relationship Id="rId312" Type="http://schemas.openxmlformats.org/officeDocument/2006/relationships/image" Target="media/image284.png"/><Relationship Id="rId313" Type="http://schemas.openxmlformats.org/officeDocument/2006/relationships/image" Target="media/image285.png"/><Relationship Id="rId314" Type="http://schemas.openxmlformats.org/officeDocument/2006/relationships/image" Target="media/image286.png"/><Relationship Id="rId315" Type="http://schemas.openxmlformats.org/officeDocument/2006/relationships/image" Target="media/image287.png"/><Relationship Id="rId316" Type="http://schemas.openxmlformats.org/officeDocument/2006/relationships/image" Target="media/image288.png"/><Relationship Id="rId317" Type="http://schemas.openxmlformats.org/officeDocument/2006/relationships/image" Target="media/image289.png"/><Relationship Id="rId318" Type="http://schemas.openxmlformats.org/officeDocument/2006/relationships/image" Target="media/image290.png"/><Relationship Id="rId319" Type="http://schemas.openxmlformats.org/officeDocument/2006/relationships/image" Target="media/image291.png"/><Relationship Id="rId320" Type="http://schemas.openxmlformats.org/officeDocument/2006/relationships/image" Target="media/image292.png"/><Relationship Id="rId321" Type="http://schemas.openxmlformats.org/officeDocument/2006/relationships/image" Target="media/image293.png"/><Relationship Id="rId322" Type="http://schemas.openxmlformats.org/officeDocument/2006/relationships/image" Target="media/image294.png"/><Relationship Id="rId323" Type="http://schemas.openxmlformats.org/officeDocument/2006/relationships/image" Target="media/image295.png"/><Relationship Id="rId324" Type="http://schemas.openxmlformats.org/officeDocument/2006/relationships/image" Target="media/image296.png"/><Relationship Id="rId325" Type="http://schemas.openxmlformats.org/officeDocument/2006/relationships/image" Target="media/image297.png"/><Relationship Id="rId326" Type="http://schemas.openxmlformats.org/officeDocument/2006/relationships/image" Target="media/image298.png"/><Relationship Id="rId327" Type="http://schemas.openxmlformats.org/officeDocument/2006/relationships/image" Target="media/image299.png"/><Relationship Id="rId328" Type="http://schemas.openxmlformats.org/officeDocument/2006/relationships/image" Target="media/image300.png"/><Relationship Id="rId329" Type="http://schemas.openxmlformats.org/officeDocument/2006/relationships/image" Target="media/image301.png"/><Relationship Id="rId330" Type="http://schemas.openxmlformats.org/officeDocument/2006/relationships/image" Target="media/image302.png"/><Relationship Id="rId331" Type="http://schemas.openxmlformats.org/officeDocument/2006/relationships/image" Target="media/image303.png"/><Relationship Id="rId332" Type="http://schemas.openxmlformats.org/officeDocument/2006/relationships/image" Target="media/image304.png"/><Relationship Id="rId333" Type="http://schemas.openxmlformats.org/officeDocument/2006/relationships/image" Target="media/image305.png"/><Relationship Id="rId334" Type="http://schemas.openxmlformats.org/officeDocument/2006/relationships/image" Target="media/image306.png"/><Relationship Id="rId335" Type="http://schemas.openxmlformats.org/officeDocument/2006/relationships/image" Target="media/image307.png"/><Relationship Id="rId336" Type="http://schemas.openxmlformats.org/officeDocument/2006/relationships/image" Target="media/image308.png"/><Relationship Id="rId337" Type="http://schemas.openxmlformats.org/officeDocument/2006/relationships/image" Target="media/image309.png"/><Relationship Id="rId338" Type="http://schemas.openxmlformats.org/officeDocument/2006/relationships/image" Target="media/image310.png"/><Relationship Id="rId339" Type="http://schemas.openxmlformats.org/officeDocument/2006/relationships/image" Target="media/image311.png"/><Relationship Id="rId340" Type="http://schemas.openxmlformats.org/officeDocument/2006/relationships/image" Target="media/image312.png"/><Relationship Id="rId341" Type="http://schemas.openxmlformats.org/officeDocument/2006/relationships/image" Target="media/image313.png"/><Relationship Id="rId342" Type="http://schemas.openxmlformats.org/officeDocument/2006/relationships/image" Target="media/image314.png"/><Relationship Id="rId343" Type="http://schemas.openxmlformats.org/officeDocument/2006/relationships/image" Target="media/image315.png"/><Relationship Id="rId344" Type="http://schemas.openxmlformats.org/officeDocument/2006/relationships/image" Target="media/image316.png"/><Relationship Id="rId345" Type="http://schemas.openxmlformats.org/officeDocument/2006/relationships/image" Target="media/image317.png"/><Relationship Id="rId346" Type="http://schemas.openxmlformats.org/officeDocument/2006/relationships/image" Target="media/image318.png"/><Relationship Id="rId347" Type="http://schemas.openxmlformats.org/officeDocument/2006/relationships/image" Target="media/image319.png"/><Relationship Id="rId348" Type="http://schemas.openxmlformats.org/officeDocument/2006/relationships/image" Target="media/image320.png"/><Relationship Id="rId349" Type="http://schemas.openxmlformats.org/officeDocument/2006/relationships/image" Target="media/image321.png"/><Relationship Id="rId143" Type="http://schemas.openxmlformats.org/officeDocument/2006/relationships/hyperlink" Target="https://www.sec.gov/ix?doc=/Archives/edgar/data/0001819133/000095017024092274/tngx-20240630.htm" TargetMode="External"/><Relationship Id="rId144" Type="http://schemas.openxmlformats.org/officeDocument/2006/relationships/hyperlink" Target="https://www.sec.gov/Archives/edgar/data/1819133/000119312521298942/d211731dex42.htm" TargetMode="External"/><Relationship Id="rId145" Type="http://schemas.openxmlformats.org/officeDocument/2006/relationships/hyperlink" Target="https://www.sec.gov/Archives/edgar/data/1819133/000121390021037131/ea144230ex4-5_bctgacq.htm" TargetMode="External"/><Relationship Id="rId146" Type="http://schemas.openxmlformats.org/officeDocument/2006/relationships/hyperlink" Target="https://www.sec.gov/Archives/edgar/data/1819133/000095017023009854/tngx-ex4_2.htm" TargetMode="External"/><Relationship Id="rId147" Type="http://schemas.openxmlformats.org/officeDocument/2006/relationships/hyperlink" Target="https://www.sec.gov/Archives/edgar/data/1819133/000119312523208100/d525614dex41.htm" TargetMode="External"/><Relationship Id="rId148" Type="http://schemas.openxmlformats.org/officeDocument/2006/relationships/hyperlink" Target="https://www.sec.gov/Archives/edgar/data/1819133/000119312521246234/d203347dex102.htm" TargetMode="External"/><Relationship Id="rId149" Type="http://schemas.openxmlformats.org/officeDocument/2006/relationships/hyperlink" Target="https://www.sec.gov/Archives/edgar/data/1819133/000119312521246234/d203347dex104.htm" TargetMode="External"/><Relationship Id="rId150" Type="http://schemas.openxmlformats.org/officeDocument/2006/relationships/hyperlink" Target="https://www.sec.gov/Archives/edgar/data/1819133/000119312521298942/d211731dex994.htm" TargetMode="External"/><Relationship Id="rId151" Type="http://schemas.openxmlformats.org/officeDocument/2006/relationships/hyperlink" Target="https://www.sec.gov/Archives/edgar/data/1819133/000119312521246234/d203347dex105.htm" TargetMode="External"/><Relationship Id="rId152" Type="http://schemas.openxmlformats.org/officeDocument/2006/relationships/hyperlink" Target="https://www.sec.gov/Archives/edgar/data/1819133/000119312521246234/d203347dex106.htm" TargetMode="External"/><Relationship Id="rId153" Type="http://schemas.openxmlformats.org/officeDocument/2006/relationships/hyperlink" Target="https://www.sec.gov/Archives/edgar/data/1819133/000121390021032845/fs42021a1ex10-19_bctgacq.htm" TargetMode="External"/><Relationship Id="rId154" Type="http://schemas.openxmlformats.org/officeDocument/2006/relationships/hyperlink" Target="https://www.sec.gov/Archives/edgar/data/1819133/000119312521246234/d203347dex107.htm" TargetMode="External"/><Relationship Id="rId155" Type="http://schemas.openxmlformats.org/officeDocument/2006/relationships/hyperlink" Target="https://www.sec.gov/Archives/edgar/data/1819133/000119312521246234/d203347dex109.htm" TargetMode="External"/><Relationship Id="rId156" Type="http://schemas.openxmlformats.org/officeDocument/2006/relationships/hyperlink" Target="https://www.sec.gov/Archives/edgar/data/1819133/000119312521246234/d203347dex1010.htm" TargetMode="External"/><Relationship Id="rId157" Type="http://schemas.openxmlformats.org/officeDocument/2006/relationships/hyperlink" Target="https://www.sec.gov/Archives/edgar/data/1819133/000119312521246234/d203347dex1011.htm" TargetMode="External"/><Relationship Id="rId158" Type="http://schemas.openxmlformats.org/officeDocument/2006/relationships/hyperlink" Target="https://www.sec.gov/Archives/edgar/data/1819133/000095017022004721/tngx-ex10_14.htm" TargetMode="External"/><Relationship Id="rId159" Type="http://schemas.openxmlformats.org/officeDocument/2006/relationships/hyperlink" Target="https://www.sec.gov/Archives/edgar/data/1819133/000119312523026914/d644136dex991.htm" TargetMode="External"/><Relationship Id="rId160" Type="http://schemas.openxmlformats.org/officeDocument/2006/relationships/hyperlink" Target="https://www.sec.gov/Archives/edgar/data/1819133/000095017023038750/tngx-ex10_1.htm" TargetMode="External"/><Relationship Id="rId161" Type="http://schemas.openxmlformats.org/officeDocument/2006/relationships/hyperlink" Target="https://www.sec.gov/Archives/edgar/data/1819133/000119312523208100/d525614dex101.htm" TargetMode="External"/><Relationship Id="rId162" Type="http://schemas.openxmlformats.org/officeDocument/2006/relationships/hyperlink" Target="https://www.sec.gov/Archives/edgar/data/1819133/000095017024032516/tngx-ex21_1.htm" TargetMode="External"/><Relationship Id="rId165" Type="http://schemas.openxmlformats.org/officeDocument/2006/relationships/hyperlink" Target="https://www.sec.gov/Archives/edgar/data/1819133/000095017024032516/tngx-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2025-02-27T06:26:35Z</dcterms:created>
  <dcterms:modified xsi:type="dcterms:W3CDTF">2025-02-27T06:26:35Z</dcterms:modified>
</cp:coreProperties>
</file>