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1)</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Tango Therapeutics, Inc.</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87583X109</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October 13, 2023</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87583X109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13,330,736</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13,330,736</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13,330,736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 IA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87583X109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13,330,736</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13,330,736</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13,330,736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87583X109</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12,563,381</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Borders>
              <w:bottom w:val="single" w:sz="8" w:color="auto"/>
            </w:tcBorders>
            <w:vMerge w:val="continue"/>
          </w:tcPr>
          <w:p>
            <w:pPr>
              <w:spacing w:after="0"/>
              <w:rPr>
                <w:sz w:val="11"/>
                <w:szCs w:val="11"/>
                <w:color w:val="auto"/>
              </w:rPr>
            </w:pPr>
          </w:p>
        </w:tc>
        <w:tc>
          <w:tcPr>
            <w:tcW w:w="8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6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60" w:type="dxa"/>
            <w:vAlign w:val="bottom"/>
            <w:tcBorders>
              <w:bottom w:val="single" w:sz="8" w:color="auto"/>
            </w:tcBorders>
            <w:vMerge w:val="continue"/>
          </w:tcPr>
          <w:p>
            <w:pPr>
              <w:spacing w:after="0"/>
              <w:rPr>
                <w:sz w:val="16"/>
                <w:szCs w:val="16"/>
                <w:color w:val="auto"/>
              </w:rPr>
            </w:pPr>
          </w:p>
        </w:tc>
        <w:tc>
          <w:tcPr>
            <w:tcW w:w="8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12,563,381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12,563,381</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12.3%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87583X109</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Tango Therapeutics,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201 Brookline Ave., Suite 901, Boston, MA 02215</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0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2"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shares of </w:t>
      </w:r>
      <w:r>
        <w:rPr>
          <w:rFonts w:ascii="Arial" w:cs="Arial" w:eastAsia="Arial" w:hAnsi="Arial"/>
          <w:sz w:val="20"/>
          <w:szCs w:val="20"/>
          <w:b w:val="1"/>
          <w:bCs w:val="1"/>
          <w:color w:val="auto"/>
        </w:rPr>
        <w:t>Common Stock, par value $0.001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87583X109</w:t>
      </w:r>
      <w:r>
        <w:rPr>
          <w:rFonts w:ascii="Arial" w:cs="Arial" w:eastAsia="Arial" w:hAnsi="Arial"/>
          <w:sz w:val="20"/>
          <w:szCs w:val="20"/>
          <w:color w:val="auto"/>
        </w:rPr>
        <w:t>.</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233"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87583X109</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42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440" w:hanging="1304"/>
        <w:spacing w:after="0" w:line="260" w:lineRule="auto"/>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percentages reported in this Schedule 13G are based on 101,738,444 shares of Common Stock outstanding as of August 23, 2023, as reported in the Form S-3 filed by the Issuer on September 1, 2023.</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300" w:right="18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46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ind w:left="660" w:right="540"/>
        <w:spacing w:after="0" w:line="31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w:t>
      </w:r>
    </w:p>
    <w:p>
      <w:pPr>
        <w:sectPr>
          <w:pgSz w:w="11900" w:h="16838" w:orient="portrait"/>
          <w:cols w:equalWidth="0" w:num="1">
            <w:col w:w="11040"/>
          </w:cols>
          <w:pgMar w:left="320" w:top="233" w:right="539" w:bottom="0" w:gutter="0" w:footer="0" w:header="0"/>
        </w:sectPr>
      </w:pPr>
    </w:p>
    <w:bookmarkStart w:id="6" w:name="page7"/>
    <w:bookmarkEnd w:id="6"/>
    <w:p>
      <w:pPr>
        <w:ind w:left="660" w:right="980"/>
        <w:spacing w:after="0" w:line="261" w:lineRule="auto"/>
        <w:rPr>
          <w:sz w:val="20"/>
          <w:szCs w:val="20"/>
          <w:color w:val="auto"/>
        </w:rPr>
      </w:pPr>
      <w:r>
        <w:rPr>
          <w:rFonts w:ascii="Arial" w:cs="Arial" w:eastAsia="Arial" w:hAnsi="Arial"/>
          <w:sz w:val="20"/>
          <w:szCs w:val="20"/>
          <w:color w:val="auto"/>
        </w:rPr>
        <w:t>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October 16, 2023</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color w:val="auto"/>
              </w:rPr>
              <w:t>/s/ Oleg Nodelman</w:t>
            </w:r>
          </w:p>
        </w:tc>
        <w:tc>
          <w:tcPr>
            <w:tcW w:w="2880" w:type="dxa"/>
            <w:vAlign w:val="bottom"/>
            <w:gridSpan w:val="2"/>
          </w:tcPr>
          <w:p>
            <w:pPr>
              <w:ind w:left="1340"/>
              <w:spacing w:after="0"/>
              <w:rPr>
                <w:sz w:val="20"/>
                <w:szCs w:val="20"/>
                <w:color w:val="auto"/>
              </w:rPr>
            </w:pPr>
            <w:r>
              <w:rPr>
                <w:rFonts w:ascii="Arial" w:cs="Arial" w:eastAsia="Arial" w:hAnsi="Arial"/>
                <w:sz w:val="20"/>
                <w:szCs w:val="20"/>
                <w:i w:val="1"/>
                <w:iCs w:val="1"/>
                <w:color w:val="auto"/>
                <w:w w:val="91"/>
              </w:rPr>
              <w:t>/s/ 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4"/>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Arial" w:cs="Arial" w:eastAsia="Arial" w:hAnsi="Arial"/>
                <w:sz w:val="20"/>
                <w:szCs w:val="20"/>
                <w:color w:val="auto"/>
              </w:rPr>
              <w:t>Oleg Nodelman, Manager</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rPr>
              <w:t>Oleg Nodelman</w:t>
            </w:r>
          </w:p>
        </w:tc>
      </w:tr>
    </w:tbl>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u w:val="single" w:color="auto"/>
          <w:color w:val="auto"/>
        </w:rPr>
        <w:t>/s/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87583X109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Dated: October 16, 2023</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color w:val="auto"/>
              </w:rPr>
              <w:t>/s/ Oleg Nodelman</w:t>
            </w:r>
          </w:p>
        </w:tc>
        <w:tc>
          <w:tcPr>
            <w:tcW w:w="2880" w:type="dxa"/>
            <w:vAlign w:val="bottom"/>
            <w:gridSpan w:val="2"/>
          </w:tcPr>
          <w:p>
            <w:pPr>
              <w:ind w:left="1340"/>
              <w:spacing w:after="0"/>
              <w:rPr>
                <w:sz w:val="20"/>
                <w:szCs w:val="20"/>
                <w:color w:val="auto"/>
              </w:rPr>
            </w:pPr>
            <w:r>
              <w:rPr>
                <w:rFonts w:ascii="Arial" w:cs="Arial" w:eastAsia="Arial" w:hAnsi="Arial"/>
                <w:sz w:val="20"/>
                <w:szCs w:val="20"/>
                <w:i w:val="1"/>
                <w:iCs w:val="1"/>
                <w:color w:val="auto"/>
                <w:w w:val="91"/>
              </w:rPr>
              <w:t>/s/ 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4"/>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Arial" w:cs="Arial" w:eastAsia="Arial" w:hAnsi="Arial"/>
                <w:sz w:val="20"/>
                <w:szCs w:val="20"/>
                <w:color w:val="auto"/>
              </w:rPr>
              <w:t>Oleg Nodelman, Manager</w:t>
            </w:r>
          </w:p>
        </w:tc>
        <w:tc>
          <w:tcPr>
            <w:tcW w:w="2880" w:type="dxa"/>
            <w:vAlign w:val="bottom"/>
            <w:gridSpan w:val="2"/>
          </w:tcPr>
          <w:p>
            <w:pPr>
              <w:ind w:left="1340"/>
              <w:spacing w:after="0"/>
              <w:rPr>
                <w:sz w:val="20"/>
                <w:szCs w:val="20"/>
                <w:color w:val="auto"/>
              </w:rPr>
            </w:pPr>
            <w:r>
              <w:rPr>
                <w:rFonts w:ascii="Arial" w:cs="Arial" w:eastAsia="Arial" w:hAnsi="Arial"/>
                <w:sz w:val="20"/>
                <w:szCs w:val="20"/>
                <w:color w:val="auto"/>
              </w:rPr>
              <w:t>Oleg Nodelman</w:t>
            </w:r>
          </w:p>
        </w:tc>
      </w:tr>
    </w:tbl>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u w:val="single" w:color="auto"/>
          <w:color w:val="auto"/>
        </w:rPr>
        <w:t>/s/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 Manager</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08689\007\10076355.v1</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2023-10-16T14:45:30Z</dcterms:created>
  <dcterms:modified xsi:type="dcterms:W3CDTF">2023-10-16T14:45:30Z</dcterms:modified>
</cp:coreProperties>
</file>